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Toc448839082"/>
      <w:bookmarkStart w:id="1" w:name="_Toc530053080"/>
      <w:r>
        <w:rPr>
          <w:rFonts w:hint="eastAsia" w:ascii="宋体" w:hAnsi="宋体"/>
          <w:b/>
          <w:bCs/>
          <w:sz w:val="44"/>
          <w:szCs w:val="44"/>
        </w:rPr>
        <w:t>上海污泥处理工程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钢架</w:t>
      </w:r>
      <w:r>
        <w:rPr>
          <w:rFonts w:hint="eastAsia" w:hAnsi="宋体"/>
          <w:b/>
          <w:bCs/>
          <w:sz w:val="44"/>
          <w:szCs w:val="44"/>
          <w:lang w:eastAsia="zh-CN"/>
        </w:rPr>
        <w:t>招</w:t>
      </w:r>
      <w:r>
        <w:rPr>
          <w:rFonts w:hint="eastAsia" w:ascii="宋体" w:hAnsi="宋体"/>
          <w:b/>
          <w:bCs/>
          <w:sz w:val="44"/>
          <w:szCs w:val="44"/>
        </w:rPr>
        <w:t>标</w:t>
      </w:r>
      <w:r>
        <w:rPr>
          <w:rFonts w:hint="eastAsia" w:hAnsi="宋体"/>
          <w:b/>
          <w:bCs/>
          <w:sz w:val="44"/>
          <w:szCs w:val="44"/>
          <w:lang w:eastAsia="zh-CN"/>
        </w:rPr>
        <w:t>公告</w:t>
      </w:r>
    </w:p>
    <w:bookmarkEnd w:id="0"/>
    <w:bookmarkEnd w:id="1"/>
    <w:p>
      <w:pPr>
        <w:widowControl/>
        <w:ind w:left="1110" w:hanging="1110"/>
        <w:jc w:val="center"/>
        <w:rPr>
          <w:rFonts w:hAnsi="Times New Roman"/>
          <w:b/>
          <w:sz w:val="30"/>
        </w:rPr>
      </w:pPr>
      <w:r>
        <w:rPr>
          <w:rFonts w:hint="eastAsia" w:hAnsi="Times New Roman"/>
          <w:b/>
          <w:sz w:val="30"/>
          <w:lang w:eastAsia="zh-CN"/>
        </w:rPr>
        <w:t>第一章</w:t>
      </w:r>
      <w:r>
        <w:rPr>
          <w:rFonts w:hint="eastAsia" w:hAnsi="Times New Roman"/>
          <w:b/>
          <w:sz w:val="30"/>
          <w:lang w:val="en-US" w:eastAsia="zh-CN"/>
        </w:rPr>
        <w:t xml:space="preserve"> </w:t>
      </w:r>
      <w:bookmarkStart w:id="3" w:name="_GoBack"/>
      <w:bookmarkEnd w:id="3"/>
      <w:r>
        <w:rPr>
          <w:rFonts w:hAnsi="Times New Roman"/>
          <w:b/>
          <w:sz w:val="30"/>
        </w:rPr>
        <w:t>招标公告</w:t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一、招标编号：</w:t>
      </w:r>
      <w:r>
        <w:rPr>
          <w:rFonts w:ascii="Times New Roman" w:hAnsi="Times New Roman"/>
          <w:b/>
          <w:sz w:val="24"/>
        </w:rPr>
        <w:t>ZB201901-HBSANB01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二、项目概况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1、项目（简称）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（1）项目全称：</w:t>
      </w:r>
      <w:r>
        <w:rPr>
          <w:rFonts w:hint="eastAsia" w:ascii="Times New Roman" w:hAnsi="Times New Roman"/>
        </w:rPr>
        <w:t>上海</w:t>
      </w:r>
      <w:r>
        <w:rPr>
          <w:rFonts w:ascii="Times New Roman" w:hAnsi="Times New Roman"/>
        </w:rPr>
        <w:t>污泥处理工程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（2）项目位置：上海市</w:t>
      </w:r>
      <w:r>
        <w:rPr>
          <w:rFonts w:hint="eastAsia" w:ascii="Times New Roman" w:hAnsi="Times New Roman"/>
        </w:rPr>
        <w:t>宝山区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三、招标范围</w:t>
      </w:r>
    </w:p>
    <w:p>
      <w:pPr>
        <w:widowControl/>
        <w:spacing w:line="360" w:lineRule="auto"/>
        <w:jc w:val="left"/>
      </w:pPr>
      <w:r>
        <w:rPr>
          <w:rFonts w:ascii="Times New Roman" w:hAnsi="Times New Roman"/>
        </w:rPr>
        <w:t>1、工程规模：</w:t>
      </w:r>
      <w:r>
        <w:rPr>
          <w:rFonts w:hint="eastAsia" w:ascii="Times New Roman" w:hAnsi="Times New Roman"/>
        </w:rPr>
        <w:t>上海</w:t>
      </w:r>
      <w:r>
        <w:rPr>
          <w:rFonts w:ascii="Times New Roman" w:hAnsi="Times New Roman"/>
        </w:rPr>
        <w:t>污泥处理工程钢架。</w:t>
      </w:r>
    </w:p>
    <w:p>
      <w:pPr>
        <w:widowControl/>
        <w:snapToGrid w:val="0"/>
        <w:spacing w:line="360" w:lineRule="auto"/>
        <w:jc w:val="left"/>
      </w:pPr>
      <w:r>
        <w:rPr>
          <w:rFonts w:ascii="Times New Roman" w:hAnsi="Times New Roman"/>
        </w:rPr>
        <w:t>2、招标范围：钢架供货、运输等</w:t>
      </w:r>
      <w:r>
        <w:rPr>
          <w:rFonts w:hint="eastAsia" w:ascii="Times New Roman" w:hAnsi="Times New Roman"/>
        </w:rPr>
        <w:t>；</w:t>
      </w:r>
      <w:r>
        <w:rPr>
          <w:rFonts w:ascii="Times New Roman" w:hAnsi="Times New Roman"/>
        </w:rPr>
        <w:t>包括但不限于如下：</w:t>
      </w:r>
    </w:p>
    <w:p>
      <w:pPr>
        <w:widowControl/>
        <w:snapToGrid w:val="0"/>
        <w:spacing w:line="360" w:lineRule="auto"/>
        <w:ind w:firstLine="21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1）根据甲方</w:t>
      </w:r>
      <w:r>
        <w:rPr>
          <w:rFonts w:hint="eastAsia" w:ascii="Times New Roman" w:hAnsi="Times New Roman"/>
        </w:rPr>
        <w:t>初步</w:t>
      </w:r>
      <w:r>
        <w:rPr>
          <w:rFonts w:ascii="Times New Roman" w:hAnsi="Times New Roman"/>
        </w:rPr>
        <w:t>图纸，进行钢架的深化设计；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2）根据设计进行</w:t>
      </w:r>
      <w:r>
        <w:rPr>
          <w:rFonts w:hint="eastAsia" w:ascii="Times New Roman" w:hAnsi="Times New Roman"/>
        </w:rPr>
        <w:t>钢架</w:t>
      </w:r>
      <w:r>
        <w:rPr>
          <w:rFonts w:ascii="Times New Roman" w:hAnsi="Times New Roman"/>
        </w:rPr>
        <w:t>材料采购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加工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 xml:space="preserve">供货； </w:t>
      </w:r>
    </w:p>
    <w:p>
      <w:pPr>
        <w:widowControl/>
        <w:snapToGrid w:val="0"/>
        <w:spacing w:line="360" w:lineRule="auto"/>
        <w:jc w:val="left"/>
        <w:rPr>
          <w:rFonts w:ascii="Calibri" w:hAnsi="Calibri"/>
        </w:rPr>
      </w:pPr>
      <w:r>
        <w:rPr>
          <w:rFonts w:ascii="Calibri" w:hAnsi="Calibri"/>
        </w:rPr>
        <w:t xml:space="preserve">  3）提供安装指导及技术培训。</w:t>
      </w:r>
    </w:p>
    <w:p>
      <w:pPr>
        <w:widowControl/>
        <w:snapToGrid w:val="0"/>
        <w:spacing w:line="360" w:lineRule="auto"/>
        <w:ind w:firstLine="210" w:firstLineChars="100"/>
        <w:jc w:val="left"/>
        <w:rPr>
          <w:rFonts w:ascii="Calibri" w:hAnsi="Calibri"/>
        </w:rPr>
      </w:pPr>
      <w:r>
        <w:rPr>
          <w:rFonts w:ascii="Calibri" w:hAnsi="Calibri"/>
        </w:rPr>
        <w:t>4）范围不包括现场卸车、储存管理、安装。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3、招标范围说明：包括但不限于制造、采购、运输、技术指导和售后服务、人员培训等，同时也包括所有必要的材料等一揽子工作。</w:t>
      </w:r>
    </w:p>
    <w:p>
      <w:pPr>
        <w:widowControl/>
        <w:snapToGrid w:val="0"/>
        <w:spacing w:line="360" w:lineRule="auto"/>
        <w:jc w:val="left"/>
      </w:pPr>
      <w:r>
        <w:t>注：详细信息参见招标技术文件。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四、投标须知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1、招标方式：国内招标采购。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2、招标人名称：北京京城环保股份有限公司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3、招标联系人及联系方式：郭亮 15001010916，88263171@qq.com。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4、交货时间：深化设计2019年2月底完成</w:t>
      </w:r>
      <w:r>
        <w:rPr>
          <w:rFonts w:hint="eastAsia" w:ascii="Times New Roman" w:hAnsi="Times New Roman"/>
        </w:rPr>
        <w:t>，3月1</w:t>
      </w:r>
      <w:r>
        <w:rPr>
          <w:rFonts w:ascii="Times New Roman" w:hAnsi="Times New Roman"/>
        </w:rPr>
        <w:t>5日开始交货</w:t>
      </w:r>
      <w:r>
        <w:rPr>
          <w:rFonts w:hint="eastAsia" w:ascii="Times New Roman" w:hAnsi="Times New Roman"/>
        </w:rPr>
        <w:t>，4月1</w:t>
      </w:r>
      <w:r>
        <w:rPr>
          <w:rFonts w:ascii="Times New Roman" w:hAnsi="Times New Roman"/>
        </w:rPr>
        <w:t>5日交完</w:t>
      </w:r>
      <w:r>
        <w:rPr>
          <w:rFonts w:hint="eastAsia" w:ascii="Times New Roman" w:hAnsi="Times New Roman"/>
        </w:rPr>
        <w:t>。</w:t>
      </w:r>
      <w:r>
        <w:rPr>
          <w:rFonts w:ascii="Times New Roman" w:hAnsi="Times New Roman"/>
        </w:rPr>
        <w:t>交货顺序按照招标方要求</w:t>
      </w:r>
      <w:r>
        <w:rPr>
          <w:rFonts w:hint="eastAsia" w:ascii="Times New Roman" w:hAnsi="Times New Roman"/>
        </w:rPr>
        <w:t>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5、具体技术要求：按照招标文件要求。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6、评标方法：综合评标法。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7、开标时间：2019年01月25日上午</w:t>
      </w:r>
      <w:r>
        <w:rPr>
          <w:rFonts w:hint="eastAsia" w:ascii="Times New Roman" w:hAnsi="Times New Roman"/>
          <w:lang w:val="en-US" w:eastAsia="zh-CN"/>
        </w:rPr>
        <w:t>9</w:t>
      </w:r>
      <w:r>
        <w:rPr>
          <w:rFonts w:ascii="Times New Roman" w:hAnsi="Times New Roman"/>
        </w:rPr>
        <w:t>时00分</w:t>
      </w:r>
      <w:r>
        <w:rPr>
          <w:rFonts w:hint="eastAsia" w:ascii="Times New Roman" w:hAnsi="Times New Roman"/>
          <w:lang w:eastAsia="zh-CN"/>
        </w:rPr>
        <w:t>（北京时间）</w:t>
      </w:r>
      <w:r>
        <w:rPr>
          <w:rFonts w:ascii="Times New Roman" w:hAnsi="Times New Roman"/>
        </w:rPr>
        <w:t>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8、开标地点：北京市朝阳区工体北路四号凯富大厦8层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9、招标联系人地点：北京市朝阳区工体北路四号环保楼218室-运营管理部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10、招标文件发售时间：2019年01月14日~2019年01月21日。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11、招标文件澄清及答疑时间：2019年01月2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日澄清截止，招标方及时给于答疑。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12、投标人“采用有限数量制”：投标人“采用有限数量制”：合格单位不足7家全部邀请，超过7家取资格审核排名前7的申请人。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13、媒介：本次公告在中国采购与招标网（</w:t>
      </w:r>
      <w:r>
        <w:rPr>
          <w:rFonts w:ascii="Times New Roman" w:hAnsi="Times New Roman"/>
        </w:rPr>
        <w:fldChar w:fldCharType="begin" w:fldLock="1"/>
      </w:r>
      <w:r>
        <w:rPr>
          <w:rFonts w:ascii="Times New Roman" w:hAnsi="Times New Roman"/>
        </w:rPr>
        <w:instrText xml:space="preserve"> HYPERLINK "http://www.http://www.chinabidding.com.cn"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http://www.chinabidding.com.cn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）、公司网站（http://www.bmei.com/）。因轻信其他组织、个人或媒介提供的信息而造成的损失，其责任由投标人自行负责。</w:t>
      </w:r>
    </w:p>
    <w:p>
      <w:pPr>
        <w:widowControl/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上述所有时间均为北京时间。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五、投标人资格要求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1、供应商应当具备下列条件：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（1）具备履行民事责任能力的独立法人，注册资本金不低于1000万元；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（2）具有履行合同所必需的设备和专业技术能力；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（3）具有良好的银行资信和商业信誉；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（4）参加招投标活动2年内没有相关违法或者违法嫌疑记录。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（5）投标人应具备同类、类似项目的供货服务经验；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6）投标人须为制造业钢构件制造厂商，具备构件加工、钣金焊接、喷砂喷涂等生产能力，具有履行合同所必需的设备和专业技术能力和质量控制能力；</w:t>
      </w:r>
    </w:p>
    <w:p>
      <w:pPr>
        <w:widowControl/>
        <w:snapToGrid w:val="0"/>
        <w:spacing w:line="360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7）投标人愿意服从招标人对于招标项目内容的介入管理要求；</w:t>
      </w:r>
    </w:p>
    <w:p>
      <w:pPr>
        <w:widowControl/>
        <w:shd w:val="clear" w:color="000000" w:fill="FFFFFF"/>
        <w:kinsoku w:val="0"/>
        <w:overflowPunct w:val="0"/>
        <w:autoSpaceDE w:val="0"/>
        <w:autoSpaceDN w:val="0"/>
        <w:snapToGrid w:val="0"/>
        <w:spacing w:line="360" w:lineRule="auto"/>
        <w:jc w:val="left"/>
      </w:pPr>
      <w:r>
        <w:t>2、在购买标书时须向招标人提供以下材料（加盖公章）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（1）企业营业执照、组织机构代码、税务登记证（三证合一）副本复印件；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（2）法定代表人授权委托书原件，法人身份证、委托代理人身份证复印件；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（3）近3年有3个相应或类似业绩合同或者证明文件的复印件（污泥焚烧项目优先）；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（4）提供无处于被责令停业，财产被接管，冻结、破产状态的证明（或承诺）文件；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（5）提供中标后不得转包的承诺文件；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（6）投标申请函及附表。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六、投标费用</w:t>
      </w:r>
    </w:p>
    <w:p>
      <w:pPr>
        <w:widowControl/>
        <w:numPr>
          <w:ilvl w:val="0"/>
          <w:numId w:val="2"/>
        </w:numPr>
        <w:snapToGrid w:val="0"/>
        <w:spacing w:line="36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招标文件每套购置费1000元，售后不退；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2、相关费用的缴纳，请使用投标公司的基本账号转账。</w:t>
      </w: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</w:rPr>
      </w:pP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北京京城环保股份有限公司</w:t>
      </w:r>
    </w:p>
    <w:p>
      <w:pPr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2019年1月14日   </w:t>
      </w:r>
      <w:r>
        <w:rPr>
          <w:rFonts w:ascii="Times New Roman" w:hAnsi="Times New Roman"/>
        </w:rPr>
        <w:t xml:space="preserve">                                        </w:t>
      </w:r>
      <w:r>
        <w:br w:type="page"/>
      </w:r>
    </w:p>
    <w:p>
      <w:pPr>
        <w:widowControl/>
        <w:tabs>
          <w:tab w:val="right" w:leader="dot" w:pos="8296"/>
        </w:tabs>
        <w:jc w:val="center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第二章 投标申请函</w:t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致：北京京城环保股份有限公司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1、按照本招标公告的要求，我方递交的申请文件及有关资料，用于招标人审查我方参加</w:t>
      </w:r>
      <w:r>
        <w:rPr>
          <w:sz w:val="21"/>
          <w:u w:val="single"/>
        </w:rPr>
        <w:t>上海</w:t>
      </w:r>
      <w:r>
        <w:rPr>
          <w:rFonts w:hint="eastAsia"/>
          <w:sz w:val="21"/>
          <w:u w:val="single"/>
        </w:rPr>
        <w:t>污泥处理</w:t>
      </w:r>
      <w:r>
        <w:rPr>
          <w:sz w:val="21"/>
          <w:u w:val="single"/>
        </w:rPr>
        <w:t>项目钢架</w:t>
      </w:r>
      <w:r>
        <w:rPr>
          <w:sz w:val="21"/>
        </w:rPr>
        <w:t>招标采购的投标资格。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2、我方同意招标人在投标期间，对我们所报内容进行实际考察，并核实其真实性与准确性，我方一定积极配合。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4、我方理解招标人有权拒绝任何申请，而无需由招标人承担任何责任。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申请人（盖章）：</w:t>
      </w: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pStyle w:val="2"/>
      </w:pPr>
      <w:r>
        <w:rPr>
          <w:rFonts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" w:name="_Toc146512971"/>
      <w:r>
        <w:rPr>
          <w:rFonts w:hint="eastAsia" w:ascii="黑体" w:eastAsia="黑体"/>
          <w:b w:val="0"/>
        </w:rPr>
        <w:t>资格审查申请表</w:t>
      </w:r>
      <w:bookmarkEnd w:id="2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1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1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1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6295"/>
    <w:multiLevelType w:val="multilevel"/>
    <w:tmpl w:val="5C946295"/>
    <w:lvl w:ilvl="0" w:tentative="0">
      <w:start w:val="14"/>
      <w:numFmt w:val="decimal"/>
      <w:lvlText w:val="%1、"/>
      <w:lvlJc w:val="left"/>
      <w:pPr>
        <w:ind w:left="-2520" w:hanging="420"/>
      </w:pPr>
      <w:rPr>
        <w:rFonts w:hint="default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abstractNum w:abstractNumId="1">
    <w:nsid w:val="5C946296"/>
    <w:multiLevelType w:val="multilevel"/>
    <w:tmpl w:val="5C946296"/>
    <w:lvl w:ilvl="0" w:tentative="0">
      <w:start w:val="1"/>
      <w:numFmt w:val="decimal"/>
      <w:lvlText w:val="%1、"/>
      <w:lvlJc w:val="left"/>
      <w:pPr>
        <w:ind w:left="-2160" w:hanging="360"/>
      </w:pPr>
      <w:rPr>
        <w:rFonts w:hint="default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4F331D3"/>
    <w:rsid w:val="08592C14"/>
    <w:rsid w:val="1184451C"/>
    <w:rsid w:val="11E46EAE"/>
    <w:rsid w:val="168C5F31"/>
    <w:rsid w:val="17BD29E1"/>
    <w:rsid w:val="27FD3683"/>
    <w:rsid w:val="32E80A9C"/>
    <w:rsid w:val="33B061D0"/>
    <w:rsid w:val="346D5B1E"/>
    <w:rsid w:val="413570C1"/>
    <w:rsid w:val="418D1936"/>
    <w:rsid w:val="43473C2E"/>
    <w:rsid w:val="4630526E"/>
    <w:rsid w:val="46427B98"/>
    <w:rsid w:val="4BF632C5"/>
    <w:rsid w:val="4CD94C10"/>
    <w:rsid w:val="4D7361E0"/>
    <w:rsid w:val="4FE3169E"/>
    <w:rsid w:val="51995484"/>
    <w:rsid w:val="51C80A9F"/>
    <w:rsid w:val="53C10F90"/>
    <w:rsid w:val="545575CF"/>
    <w:rsid w:val="586B567A"/>
    <w:rsid w:val="5879427D"/>
    <w:rsid w:val="59854B6E"/>
    <w:rsid w:val="5CDA1C32"/>
    <w:rsid w:val="60A06187"/>
    <w:rsid w:val="73883DA0"/>
    <w:rsid w:val="7475645F"/>
    <w:rsid w:val="7793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9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1</TotalTime>
  <ScaleCrop>false</ScaleCrop>
  <LinksUpToDate>false</LinksUpToDate>
  <CharactersWithSpaces>4386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2019-01-14T09:08:55Z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