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Times New Roman" w:eastAsia="宋体" w:cs="Times New Roman"/>
          <w:b/>
          <w:kern w:val="2"/>
          <w:sz w:val="30"/>
          <w:szCs w:val="24"/>
          <w:lang w:val="zh-CN" w:eastAsia="zh-CN" w:bidi="ar-SA"/>
        </w:rPr>
      </w:pPr>
      <w:bookmarkStart w:id="0" w:name="_Toc448839082"/>
      <w:bookmarkStart w:id="1" w:name="_Toc527364898"/>
      <w:r>
        <w:rPr>
          <w:rFonts w:hint="eastAsia" w:ascii="宋体" w:hAnsi="Times New Roman" w:eastAsia="宋体" w:cs="Times New Roman"/>
          <w:b/>
          <w:kern w:val="2"/>
          <w:sz w:val="30"/>
          <w:szCs w:val="24"/>
          <w:lang w:val="zh-CN" w:eastAsia="zh-CN" w:bidi="ar-SA"/>
        </w:rPr>
        <w:t>浙江污泥处理项目干污泥缓存仓</w:t>
      </w:r>
      <w:r>
        <w:rPr>
          <w:rFonts w:hint="eastAsia" w:ascii="宋体" w:hAnsi="Times New Roman" w:eastAsia="宋体" w:cs="Times New Roman"/>
          <w:b/>
          <w:kern w:val="2"/>
          <w:sz w:val="30"/>
          <w:szCs w:val="24"/>
          <w:lang w:val="zh-CN" w:eastAsia="zh-CN" w:bidi="ar-SA"/>
        </w:rPr>
        <w:t>招标</w:t>
      </w:r>
    </w:p>
    <w:bookmarkEnd w:id="0"/>
    <w:bookmarkEnd w:id="1"/>
    <w:p>
      <w:pPr>
        <w:pStyle w:val="3"/>
        <w:numPr>
          <w:ilvl w:val="0"/>
          <w:numId w:val="1"/>
        </w:numPr>
      </w:pPr>
      <w:bookmarkStart w:id="2" w:name="_Toc471479158"/>
      <w:bookmarkStart w:id="3" w:name="_Toc452621175"/>
      <w:bookmarkStart w:id="4" w:name="_Toc452641986"/>
      <w:r>
        <w:rPr>
          <w:rFonts w:hint="eastAsia"/>
        </w:rPr>
        <w:t>招标公告</w:t>
      </w:r>
      <w:bookmarkEnd w:id="2"/>
    </w:p>
    <w:p>
      <w:pPr>
        <w:rPr>
          <w:lang w:val="zh-CN"/>
        </w:rPr>
      </w:pPr>
    </w:p>
    <w:p>
      <w:pPr>
        <w:pStyle w:val="4"/>
        <w:snapToGrid w:val="0"/>
        <w:spacing w:line="360" w:lineRule="auto"/>
        <w:rPr>
          <w:rFonts w:hint="eastAsia"/>
          <w:bCs/>
          <w:szCs w:val="21"/>
          <w:lang w:eastAsia="zh-CN"/>
        </w:rPr>
      </w:pPr>
      <w:bookmarkStart w:id="5" w:name="_Toc471479159"/>
      <w:r>
        <w:rPr>
          <w:rFonts w:hint="eastAsia"/>
        </w:rPr>
        <w:t>一、招标编号：</w:t>
      </w:r>
      <w:bookmarkEnd w:id="5"/>
      <w:r>
        <w:rPr>
          <w:lang w:eastAsia="zh-CN"/>
        </w:rPr>
        <w:t>ZB202111-HBZB04</w:t>
      </w:r>
      <w:bookmarkStart w:id="22" w:name="_GoBack"/>
      <w:bookmarkEnd w:id="22"/>
    </w:p>
    <w:p>
      <w:pPr>
        <w:pStyle w:val="4"/>
        <w:snapToGrid w:val="0"/>
        <w:spacing w:line="360" w:lineRule="auto"/>
      </w:pPr>
      <w:bookmarkStart w:id="6" w:name="_Toc471479160"/>
      <w:r>
        <w:rPr>
          <w:rFonts w:hint="eastAsia"/>
        </w:rPr>
        <w:t>二、项目概况</w:t>
      </w:r>
      <w:bookmarkEnd w:id="6"/>
    </w:p>
    <w:p>
      <w:pPr>
        <w:adjustRightInd w:val="0"/>
        <w:snapToGrid w:val="0"/>
        <w:spacing w:line="360" w:lineRule="auto"/>
        <w:rPr>
          <w:bCs/>
          <w:szCs w:val="21"/>
        </w:rPr>
      </w:pPr>
      <w:r>
        <w:rPr>
          <w:rFonts w:hint="eastAsia"/>
          <w:bCs/>
          <w:szCs w:val="21"/>
        </w:rPr>
        <w:t>1、</w:t>
      </w:r>
    </w:p>
    <w:p>
      <w:pPr>
        <w:adjustRightInd w:val="0"/>
        <w:snapToGrid w:val="0"/>
        <w:spacing w:line="360" w:lineRule="auto"/>
        <w:rPr>
          <w:rFonts w:hint="eastAsia"/>
          <w:bCs/>
          <w:szCs w:val="21"/>
        </w:rPr>
      </w:pPr>
      <w:r>
        <w:rPr>
          <w:bCs/>
          <w:szCs w:val="21"/>
        </w:rPr>
        <w:t>（1）</w:t>
      </w:r>
      <w:r>
        <w:rPr>
          <w:rFonts w:hint="eastAsia"/>
          <w:bCs/>
          <w:szCs w:val="21"/>
        </w:rPr>
        <w:t>项目全称：浙江污泥处理项目</w:t>
      </w:r>
    </w:p>
    <w:p>
      <w:pPr>
        <w:adjustRightInd w:val="0"/>
        <w:snapToGrid w:val="0"/>
        <w:spacing w:line="360" w:lineRule="auto"/>
        <w:rPr>
          <w:rFonts w:hint="eastAsia"/>
          <w:bCs/>
          <w:szCs w:val="21"/>
        </w:rPr>
      </w:pPr>
      <w:r>
        <w:rPr>
          <w:bCs/>
          <w:szCs w:val="21"/>
        </w:rPr>
        <w:t>（</w:t>
      </w:r>
      <w:r>
        <w:rPr>
          <w:rFonts w:hint="eastAsia"/>
          <w:bCs/>
          <w:szCs w:val="21"/>
        </w:rPr>
        <w:t>2</w:t>
      </w:r>
      <w:r>
        <w:rPr>
          <w:bCs/>
          <w:szCs w:val="21"/>
        </w:rPr>
        <w:t>）</w:t>
      </w:r>
      <w:r>
        <w:rPr>
          <w:rFonts w:hint="eastAsia"/>
          <w:bCs/>
          <w:szCs w:val="21"/>
        </w:rPr>
        <w:t>项目位置：浙江省舟山市</w:t>
      </w:r>
    </w:p>
    <w:p>
      <w:pPr>
        <w:pStyle w:val="4"/>
        <w:snapToGrid w:val="0"/>
        <w:spacing w:line="360" w:lineRule="auto"/>
      </w:pPr>
      <w:bookmarkStart w:id="7" w:name="_Toc471479161"/>
      <w:r>
        <w:rPr>
          <w:rFonts w:hint="eastAsia"/>
        </w:rPr>
        <w:t>三、招标范围</w:t>
      </w:r>
      <w:bookmarkEnd w:id="7"/>
    </w:p>
    <w:p>
      <w:pPr>
        <w:spacing w:line="360" w:lineRule="auto"/>
        <w:rPr>
          <w:rFonts w:ascii="宋体" w:hAnsi="宋体"/>
          <w:bCs/>
          <w:szCs w:val="21"/>
        </w:rPr>
      </w:pPr>
      <w:bookmarkStart w:id="8" w:name="_Toc471479162"/>
      <w:bookmarkStart w:id="9" w:name="_Toc81619732"/>
      <w:r>
        <w:rPr>
          <w:rFonts w:ascii="宋体" w:hAnsi="宋体"/>
          <w:bCs/>
          <w:szCs w:val="21"/>
        </w:rPr>
        <w:t>1、工程规模：</w:t>
      </w:r>
      <w:r>
        <w:rPr>
          <w:rFonts w:hint="eastAsia" w:ascii="宋体" w:hAnsi="宋体"/>
          <w:bCs/>
          <w:szCs w:val="21"/>
        </w:rPr>
        <w:t>浙江污泥处理项目干污泥缓存</w:t>
      </w:r>
      <w:r>
        <w:rPr>
          <w:rFonts w:ascii="宋体" w:hAnsi="宋体"/>
          <w:bCs/>
          <w:szCs w:val="21"/>
        </w:rPr>
        <w:t>系统供货</w:t>
      </w:r>
      <w:r>
        <w:rPr>
          <w:rFonts w:hint="eastAsia" w:ascii="宋体" w:hAnsi="宋体"/>
          <w:bCs/>
          <w:szCs w:val="21"/>
        </w:rPr>
        <w:t>、指导</w:t>
      </w:r>
      <w:r>
        <w:rPr>
          <w:rFonts w:ascii="宋体" w:hAnsi="宋体"/>
          <w:bCs/>
          <w:szCs w:val="21"/>
        </w:rPr>
        <w:t>安装</w:t>
      </w:r>
      <w:r>
        <w:rPr>
          <w:rFonts w:hint="eastAsia" w:ascii="宋体" w:hAnsi="宋体"/>
          <w:bCs/>
          <w:szCs w:val="21"/>
        </w:rPr>
        <w:t>及调试</w:t>
      </w:r>
      <w:r>
        <w:rPr>
          <w:rFonts w:ascii="宋体" w:hAnsi="宋体"/>
          <w:bCs/>
          <w:szCs w:val="21"/>
        </w:rPr>
        <w:t>。</w:t>
      </w:r>
    </w:p>
    <w:p>
      <w:pPr>
        <w:spacing w:line="360" w:lineRule="auto"/>
        <w:rPr>
          <w:rFonts w:ascii="宋体" w:hAnsi="宋体"/>
          <w:bCs/>
          <w:szCs w:val="21"/>
        </w:rPr>
      </w:pPr>
      <w:r>
        <w:rPr>
          <w:rFonts w:ascii="宋体" w:hAnsi="宋体"/>
          <w:bCs/>
          <w:szCs w:val="21"/>
        </w:rPr>
        <w:t>2、招标范围：</w:t>
      </w:r>
      <w:r>
        <w:rPr>
          <w:rFonts w:hint="eastAsia" w:ascii="宋体" w:hAnsi="宋体"/>
          <w:bCs/>
          <w:szCs w:val="21"/>
        </w:rPr>
        <w:t>干污泥缓存</w:t>
      </w:r>
      <w:r>
        <w:rPr>
          <w:rFonts w:ascii="宋体" w:hAnsi="宋体"/>
          <w:bCs/>
          <w:szCs w:val="21"/>
        </w:rPr>
        <w:t>系统设备设计、制造、供货、</w:t>
      </w:r>
      <w:r>
        <w:rPr>
          <w:rFonts w:hint="eastAsia" w:ascii="宋体" w:hAnsi="宋体"/>
          <w:bCs/>
          <w:szCs w:val="21"/>
        </w:rPr>
        <w:t>指导</w:t>
      </w:r>
      <w:r>
        <w:rPr>
          <w:rFonts w:ascii="宋体" w:hAnsi="宋体"/>
          <w:bCs/>
          <w:szCs w:val="21"/>
        </w:rPr>
        <w:t>安装</w:t>
      </w:r>
      <w:r>
        <w:rPr>
          <w:rFonts w:hint="eastAsia" w:ascii="宋体" w:hAnsi="宋体"/>
          <w:bCs/>
          <w:szCs w:val="21"/>
        </w:rPr>
        <w:t>（除液压管路的安装由投标方负责以外）</w:t>
      </w:r>
      <w:r>
        <w:rPr>
          <w:rFonts w:ascii="宋体" w:hAnsi="宋体"/>
          <w:bCs/>
          <w:szCs w:val="21"/>
        </w:rPr>
        <w:t>、系统单机</w:t>
      </w:r>
      <w:r>
        <w:rPr>
          <w:rFonts w:hint="eastAsia" w:ascii="宋体" w:hAnsi="宋体"/>
          <w:bCs/>
          <w:szCs w:val="21"/>
        </w:rPr>
        <w:t>及联动</w:t>
      </w:r>
      <w:r>
        <w:rPr>
          <w:rFonts w:ascii="宋体" w:hAnsi="宋体"/>
          <w:bCs/>
          <w:szCs w:val="21"/>
        </w:rPr>
        <w:t>调试等;包括但不限于如下：</w:t>
      </w:r>
    </w:p>
    <w:p>
      <w:pPr>
        <w:spacing w:line="360" w:lineRule="auto"/>
        <w:rPr>
          <w:rFonts w:ascii="宋体" w:hAnsi="宋体"/>
          <w:bCs/>
          <w:szCs w:val="21"/>
        </w:rPr>
      </w:pPr>
      <w:r>
        <w:rPr>
          <w:rFonts w:ascii="宋体" w:hAnsi="宋体"/>
          <w:bCs/>
          <w:szCs w:val="21"/>
        </w:rPr>
        <w:t>1）根据甲方提供处理能力及条件要求，进行</w:t>
      </w:r>
      <w:r>
        <w:rPr>
          <w:rFonts w:hint="eastAsia" w:ascii="宋体" w:hAnsi="宋体"/>
          <w:bCs/>
          <w:szCs w:val="21"/>
        </w:rPr>
        <w:t>干污泥缓存</w:t>
      </w:r>
      <w:r>
        <w:rPr>
          <w:rFonts w:ascii="宋体" w:hAnsi="宋体"/>
          <w:bCs/>
          <w:szCs w:val="21"/>
        </w:rPr>
        <w:t>系统的设计；</w:t>
      </w:r>
    </w:p>
    <w:p>
      <w:pPr>
        <w:spacing w:line="360" w:lineRule="auto"/>
        <w:rPr>
          <w:rFonts w:ascii="宋体" w:hAnsi="宋体"/>
          <w:bCs/>
          <w:szCs w:val="21"/>
        </w:rPr>
      </w:pPr>
      <w:r>
        <w:rPr>
          <w:rFonts w:ascii="宋体" w:hAnsi="宋体"/>
          <w:bCs/>
          <w:szCs w:val="21"/>
        </w:rPr>
        <w:t>2）根据设计进行设备</w:t>
      </w:r>
      <w:r>
        <w:rPr>
          <w:rFonts w:hint="eastAsia" w:ascii="宋体" w:hAnsi="宋体"/>
          <w:bCs/>
          <w:szCs w:val="21"/>
        </w:rPr>
        <w:t>的</w:t>
      </w:r>
      <w:r>
        <w:rPr>
          <w:rFonts w:ascii="宋体" w:hAnsi="宋体"/>
          <w:bCs/>
          <w:szCs w:val="21"/>
        </w:rPr>
        <w:t>加工制造</w:t>
      </w:r>
      <w:r>
        <w:rPr>
          <w:rFonts w:hint="eastAsia" w:ascii="宋体" w:hAnsi="宋体"/>
          <w:bCs/>
          <w:szCs w:val="21"/>
        </w:rPr>
        <w:t>、</w:t>
      </w:r>
      <w:r>
        <w:rPr>
          <w:rFonts w:ascii="宋体" w:hAnsi="宋体"/>
          <w:bCs/>
          <w:szCs w:val="21"/>
        </w:rPr>
        <w:t>采购供货，</w:t>
      </w:r>
      <w:r>
        <w:rPr>
          <w:rFonts w:hint="eastAsia" w:ascii="宋体" w:hAnsi="宋体"/>
          <w:bCs/>
          <w:szCs w:val="21"/>
        </w:rPr>
        <w:t>液压管路的</w:t>
      </w:r>
      <w:r>
        <w:rPr>
          <w:rFonts w:ascii="宋体" w:hAnsi="宋体"/>
          <w:bCs/>
          <w:szCs w:val="21"/>
        </w:rPr>
        <w:t>安装</w:t>
      </w:r>
      <w:r>
        <w:rPr>
          <w:rFonts w:hint="eastAsia" w:ascii="宋体" w:hAnsi="宋体"/>
          <w:bCs/>
          <w:szCs w:val="21"/>
        </w:rPr>
        <w:t>及系统内其它设备的指导安装</w:t>
      </w:r>
      <w:r>
        <w:rPr>
          <w:rFonts w:ascii="宋体" w:hAnsi="宋体"/>
          <w:bCs/>
          <w:szCs w:val="21"/>
        </w:rPr>
        <w:t>；</w:t>
      </w:r>
    </w:p>
    <w:p>
      <w:pPr>
        <w:spacing w:line="360" w:lineRule="auto"/>
        <w:rPr>
          <w:rFonts w:ascii="宋体" w:hAnsi="宋体"/>
          <w:bCs/>
          <w:szCs w:val="21"/>
        </w:rPr>
      </w:pPr>
      <w:r>
        <w:rPr>
          <w:rFonts w:ascii="宋体" w:hAnsi="宋体"/>
          <w:bCs/>
          <w:szCs w:val="21"/>
        </w:rPr>
        <w:t>3）提供设备技术资料及检验文件。</w:t>
      </w:r>
    </w:p>
    <w:p>
      <w:pPr>
        <w:spacing w:line="360" w:lineRule="auto"/>
        <w:rPr>
          <w:rFonts w:ascii="宋体" w:hAnsi="宋体"/>
          <w:bCs/>
          <w:szCs w:val="21"/>
          <w:highlight w:val="none"/>
        </w:rPr>
      </w:pPr>
      <w:r>
        <w:rPr>
          <w:rFonts w:ascii="宋体" w:hAnsi="宋体"/>
          <w:bCs/>
          <w:szCs w:val="21"/>
        </w:rPr>
        <w:t>4）范围</w:t>
      </w:r>
      <w:r>
        <w:rPr>
          <w:rFonts w:hint="eastAsia" w:ascii="宋体" w:hAnsi="宋体"/>
          <w:bCs/>
          <w:szCs w:val="21"/>
        </w:rPr>
        <w:t>不</w:t>
      </w:r>
      <w:r>
        <w:rPr>
          <w:rFonts w:ascii="宋体" w:hAnsi="宋体"/>
          <w:bCs/>
          <w:szCs w:val="21"/>
        </w:rPr>
        <w:t>包括储存管理。</w:t>
      </w:r>
    </w:p>
    <w:p>
      <w:pPr>
        <w:spacing w:line="360" w:lineRule="auto"/>
        <w:rPr>
          <w:rFonts w:hint="eastAsia" w:ascii="宋体" w:hAnsi="宋体"/>
          <w:bCs/>
          <w:szCs w:val="21"/>
          <w:highlight w:val="none"/>
        </w:rPr>
      </w:pPr>
      <w:r>
        <w:rPr>
          <w:rFonts w:ascii="宋体" w:hAnsi="宋体"/>
          <w:bCs/>
          <w:szCs w:val="21"/>
          <w:highlight w:val="none"/>
        </w:rPr>
        <w:t>3、供货清单：</w:t>
      </w:r>
    </w:p>
    <w:tbl>
      <w:tblPr>
        <w:tblStyle w:val="13"/>
        <w:tblW w:w="8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8"/>
        <w:gridCol w:w="1669"/>
        <w:gridCol w:w="4820"/>
        <w:gridCol w:w="708"/>
        <w:gridCol w:w="7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jc w:val="center"/>
        </w:trPr>
        <w:tc>
          <w:tcPr>
            <w:tcW w:w="738" w:type="dxa"/>
            <w:noWrap w:val="0"/>
            <w:vAlign w:val="center"/>
          </w:tcPr>
          <w:p>
            <w:pPr>
              <w:jc w:val="center"/>
              <w:rPr>
                <w:szCs w:val="21"/>
              </w:rPr>
            </w:pPr>
            <w:r>
              <w:rPr>
                <w:szCs w:val="21"/>
              </w:rPr>
              <w:t>序号</w:t>
            </w:r>
          </w:p>
        </w:tc>
        <w:tc>
          <w:tcPr>
            <w:tcW w:w="1669" w:type="dxa"/>
            <w:noWrap w:val="0"/>
            <w:vAlign w:val="center"/>
          </w:tcPr>
          <w:p>
            <w:pPr>
              <w:jc w:val="center"/>
              <w:rPr>
                <w:szCs w:val="21"/>
              </w:rPr>
            </w:pPr>
            <w:r>
              <w:rPr>
                <w:szCs w:val="21"/>
              </w:rPr>
              <w:t>设备名称</w:t>
            </w:r>
          </w:p>
        </w:tc>
        <w:tc>
          <w:tcPr>
            <w:tcW w:w="4820" w:type="dxa"/>
            <w:noWrap w:val="0"/>
            <w:vAlign w:val="center"/>
          </w:tcPr>
          <w:p>
            <w:pPr>
              <w:jc w:val="center"/>
              <w:rPr>
                <w:szCs w:val="21"/>
              </w:rPr>
            </w:pPr>
            <w:r>
              <w:rPr>
                <w:szCs w:val="21"/>
              </w:rPr>
              <w:t>主要规格</w:t>
            </w:r>
          </w:p>
        </w:tc>
        <w:tc>
          <w:tcPr>
            <w:tcW w:w="708" w:type="dxa"/>
            <w:noWrap w:val="0"/>
            <w:vAlign w:val="center"/>
          </w:tcPr>
          <w:p>
            <w:pPr>
              <w:jc w:val="center"/>
              <w:rPr>
                <w:szCs w:val="21"/>
              </w:rPr>
            </w:pPr>
            <w:r>
              <w:rPr>
                <w:szCs w:val="21"/>
              </w:rPr>
              <w:t>单位</w:t>
            </w:r>
          </w:p>
        </w:tc>
        <w:tc>
          <w:tcPr>
            <w:tcW w:w="709" w:type="dxa"/>
            <w:noWrap w:val="0"/>
            <w:vAlign w:val="center"/>
          </w:tcPr>
          <w:p>
            <w:pPr>
              <w:jc w:val="center"/>
              <w:rPr>
                <w:szCs w:val="21"/>
              </w:rPr>
            </w:pPr>
            <w:r>
              <w:rPr>
                <w:szCs w:val="21"/>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jc w:val="center"/>
        </w:trPr>
        <w:tc>
          <w:tcPr>
            <w:tcW w:w="738" w:type="dxa"/>
            <w:noWrap w:val="0"/>
            <w:vAlign w:val="center"/>
          </w:tcPr>
          <w:p>
            <w:pPr>
              <w:pStyle w:val="28"/>
              <w:widowControl/>
              <w:numPr>
                <w:ilvl w:val="0"/>
                <w:numId w:val="2"/>
              </w:numPr>
              <w:spacing w:line="360" w:lineRule="auto"/>
              <w:ind w:firstLineChars="0"/>
              <w:jc w:val="center"/>
              <w:rPr>
                <w:rFonts w:cs="Times New Roman"/>
                <w:szCs w:val="21"/>
              </w:rPr>
            </w:pPr>
          </w:p>
        </w:tc>
        <w:tc>
          <w:tcPr>
            <w:tcW w:w="1669" w:type="dxa"/>
            <w:noWrap w:val="0"/>
            <w:vAlign w:val="center"/>
          </w:tcPr>
          <w:p>
            <w:pPr>
              <w:jc w:val="center"/>
              <w:rPr>
                <w:color w:val="000000"/>
                <w:kern w:val="0"/>
                <w:szCs w:val="21"/>
              </w:rPr>
            </w:pPr>
            <w:r>
              <w:rPr>
                <w:color w:val="000000"/>
                <w:kern w:val="0"/>
                <w:szCs w:val="21"/>
              </w:rPr>
              <w:t>干污泥缓存仓</w:t>
            </w:r>
          </w:p>
        </w:tc>
        <w:tc>
          <w:tcPr>
            <w:tcW w:w="4820" w:type="dxa"/>
            <w:noWrap w:val="0"/>
            <w:vAlign w:val="center"/>
          </w:tcPr>
          <w:p>
            <w:pPr>
              <w:rPr>
                <w:color w:val="000000"/>
                <w:kern w:val="0"/>
                <w:szCs w:val="21"/>
              </w:rPr>
            </w:pPr>
            <w:r>
              <w:rPr>
                <w:color w:val="000000"/>
                <w:kern w:val="0"/>
                <w:szCs w:val="21"/>
              </w:rPr>
              <w:t>V=6m³，仓体壁厚8mm，仓底壁厚20mm，</w:t>
            </w:r>
            <w:r>
              <w:rPr>
                <w:rFonts w:hint="eastAsia"/>
                <w:color w:val="000000"/>
                <w:kern w:val="0"/>
                <w:szCs w:val="21"/>
              </w:rPr>
              <w:t>仓壁</w:t>
            </w:r>
            <w:r>
              <w:rPr>
                <w:color w:val="000000"/>
                <w:kern w:val="0"/>
                <w:szCs w:val="21"/>
              </w:rPr>
              <w:t>材质：不锈钢304，需酸洗钝化；</w:t>
            </w:r>
            <w:r>
              <w:rPr>
                <w:rFonts w:hint="eastAsia"/>
                <w:color w:val="000000"/>
                <w:kern w:val="0"/>
                <w:szCs w:val="21"/>
              </w:rPr>
              <w:t>仓底板材质：Q</w:t>
            </w:r>
            <w:r>
              <w:rPr>
                <w:color w:val="000000"/>
                <w:kern w:val="0"/>
                <w:szCs w:val="21"/>
              </w:rPr>
              <w:t>355B</w:t>
            </w:r>
            <w:r>
              <w:rPr>
                <w:rFonts w:hint="eastAsia"/>
                <w:color w:val="000000"/>
                <w:kern w:val="0"/>
                <w:szCs w:val="21"/>
              </w:rPr>
              <w:t>，</w:t>
            </w:r>
            <w:r>
              <w:rPr>
                <w:color w:val="000000"/>
                <w:kern w:val="0"/>
                <w:szCs w:val="21"/>
              </w:rPr>
              <w:t>料仓设置支撑钢架</w:t>
            </w:r>
            <w:r>
              <w:rPr>
                <w:rFonts w:hint="eastAsia"/>
                <w:color w:val="000000"/>
                <w:kern w:val="0"/>
                <w:szCs w:val="21"/>
              </w:rPr>
              <w:t>。</w:t>
            </w:r>
          </w:p>
        </w:tc>
        <w:tc>
          <w:tcPr>
            <w:tcW w:w="708" w:type="dxa"/>
            <w:noWrap w:val="0"/>
            <w:vAlign w:val="center"/>
          </w:tcPr>
          <w:p>
            <w:pPr>
              <w:jc w:val="center"/>
              <w:rPr>
                <w:szCs w:val="21"/>
              </w:rPr>
            </w:pPr>
            <w:r>
              <w:rPr>
                <w:color w:val="000000"/>
                <w:kern w:val="0"/>
                <w:szCs w:val="21"/>
              </w:rPr>
              <w:t>套</w:t>
            </w:r>
          </w:p>
        </w:tc>
        <w:tc>
          <w:tcPr>
            <w:tcW w:w="709" w:type="dxa"/>
            <w:noWrap w:val="0"/>
            <w:vAlign w:val="center"/>
          </w:tcPr>
          <w:p>
            <w:pPr>
              <w:jc w:val="center"/>
              <w:rPr>
                <w:szCs w:val="21"/>
              </w:rPr>
            </w:pPr>
            <w:r>
              <w:rPr>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jc w:val="center"/>
        </w:trPr>
        <w:tc>
          <w:tcPr>
            <w:tcW w:w="738" w:type="dxa"/>
            <w:noWrap w:val="0"/>
            <w:vAlign w:val="center"/>
          </w:tcPr>
          <w:p>
            <w:pPr>
              <w:pStyle w:val="28"/>
              <w:widowControl/>
              <w:numPr>
                <w:ilvl w:val="0"/>
                <w:numId w:val="2"/>
              </w:numPr>
              <w:spacing w:line="360" w:lineRule="auto"/>
              <w:ind w:firstLineChars="0"/>
              <w:jc w:val="center"/>
              <w:rPr>
                <w:rFonts w:cs="Times New Roman"/>
                <w:szCs w:val="21"/>
              </w:rPr>
            </w:pPr>
          </w:p>
        </w:tc>
        <w:tc>
          <w:tcPr>
            <w:tcW w:w="1669" w:type="dxa"/>
            <w:noWrap w:val="0"/>
            <w:vAlign w:val="center"/>
          </w:tcPr>
          <w:p>
            <w:pPr>
              <w:jc w:val="center"/>
              <w:rPr>
                <w:color w:val="000000"/>
                <w:kern w:val="0"/>
                <w:szCs w:val="21"/>
              </w:rPr>
            </w:pPr>
            <w:r>
              <w:rPr>
                <w:color w:val="000000"/>
                <w:kern w:val="0"/>
                <w:szCs w:val="21"/>
              </w:rPr>
              <w:t>滑架</w:t>
            </w:r>
          </w:p>
        </w:tc>
        <w:tc>
          <w:tcPr>
            <w:tcW w:w="4820" w:type="dxa"/>
            <w:noWrap w:val="0"/>
            <w:vAlign w:val="center"/>
          </w:tcPr>
          <w:p>
            <w:pPr>
              <w:rPr>
                <w:color w:val="000000"/>
                <w:kern w:val="0"/>
                <w:szCs w:val="21"/>
              </w:rPr>
            </w:pPr>
            <w:r>
              <w:rPr>
                <w:color w:val="000000"/>
                <w:kern w:val="0"/>
                <w:szCs w:val="21"/>
              </w:rPr>
              <w:t>滑架：Q355B</w:t>
            </w:r>
          </w:p>
        </w:tc>
        <w:tc>
          <w:tcPr>
            <w:tcW w:w="708" w:type="dxa"/>
            <w:noWrap w:val="0"/>
            <w:vAlign w:val="center"/>
          </w:tcPr>
          <w:p>
            <w:pPr>
              <w:jc w:val="center"/>
              <w:rPr>
                <w:color w:val="000000"/>
                <w:kern w:val="0"/>
                <w:szCs w:val="21"/>
              </w:rPr>
            </w:pPr>
            <w:r>
              <w:rPr>
                <w:color w:val="000000"/>
                <w:kern w:val="0"/>
                <w:szCs w:val="21"/>
              </w:rPr>
              <w:t>套</w:t>
            </w:r>
          </w:p>
        </w:tc>
        <w:tc>
          <w:tcPr>
            <w:tcW w:w="709" w:type="dxa"/>
            <w:noWrap w:val="0"/>
            <w:vAlign w:val="center"/>
          </w:tcPr>
          <w:p>
            <w:pPr>
              <w:jc w:val="center"/>
              <w:rPr>
                <w:szCs w:val="21"/>
              </w:rPr>
            </w:pPr>
            <w:r>
              <w:rPr>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jc w:val="center"/>
        </w:trPr>
        <w:tc>
          <w:tcPr>
            <w:tcW w:w="738" w:type="dxa"/>
            <w:noWrap w:val="0"/>
            <w:vAlign w:val="center"/>
          </w:tcPr>
          <w:p>
            <w:pPr>
              <w:pStyle w:val="28"/>
              <w:widowControl/>
              <w:numPr>
                <w:ilvl w:val="0"/>
                <w:numId w:val="2"/>
              </w:numPr>
              <w:spacing w:line="360" w:lineRule="auto"/>
              <w:ind w:firstLineChars="0"/>
              <w:jc w:val="center"/>
              <w:rPr>
                <w:rFonts w:cs="Times New Roman"/>
                <w:szCs w:val="21"/>
              </w:rPr>
            </w:pPr>
          </w:p>
        </w:tc>
        <w:tc>
          <w:tcPr>
            <w:tcW w:w="1669" w:type="dxa"/>
            <w:noWrap w:val="0"/>
            <w:vAlign w:val="center"/>
          </w:tcPr>
          <w:p>
            <w:pPr>
              <w:jc w:val="center"/>
              <w:rPr>
                <w:color w:val="000000"/>
                <w:kern w:val="0"/>
                <w:szCs w:val="21"/>
              </w:rPr>
            </w:pPr>
            <w:r>
              <w:rPr>
                <w:rFonts w:hint="eastAsia"/>
                <w:color w:val="000000"/>
                <w:kern w:val="0"/>
                <w:szCs w:val="21"/>
              </w:rPr>
              <w:t>液压站</w:t>
            </w:r>
          </w:p>
        </w:tc>
        <w:tc>
          <w:tcPr>
            <w:tcW w:w="4820" w:type="dxa"/>
            <w:noWrap w:val="0"/>
            <w:vAlign w:val="center"/>
          </w:tcPr>
          <w:p>
            <w:pPr>
              <w:rPr>
                <w:color w:val="000000"/>
                <w:kern w:val="0"/>
                <w:szCs w:val="21"/>
              </w:rPr>
            </w:pPr>
            <w:r>
              <w:rPr>
                <w:rFonts w:hint="eastAsia"/>
                <w:color w:val="000000"/>
                <w:kern w:val="0"/>
                <w:szCs w:val="21"/>
              </w:rPr>
              <w:t>水冷液压站，配套电控箱。</w:t>
            </w:r>
          </w:p>
        </w:tc>
        <w:tc>
          <w:tcPr>
            <w:tcW w:w="708" w:type="dxa"/>
            <w:noWrap w:val="0"/>
            <w:vAlign w:val="center"/>
          </w:tcPr>
          <w:p>
            <w:pPr>
              <w:jc w:val="center"/>
              <w:rPr>
                <w:color w:val="000000"/>
                <w:kern w:val="0"/>
                <w:szCs w:val="21"/>
              </w:rPr>
            </w:pPr>
            <w:r>
              <w:rPr>
                <w:color w:val="000000"/>
                <w:kern w:val="0"/>
                <w:szCs w:val="21"/>
              </w:rPr>
              <w:t>套</w:t>
            </w:r>
          </w:p>
        </w:tc>
        <w:tc>
          <w:tcPr>
            <w:tcW w:w="709" w:type="dxa"/>
            <w:noWrap w:val="0"/>
            <w:vAlign w:val="center"/>
          </w:tcPr>
          <w:p>
            <w:pPr>
              <w:jc w:val="center"/>
              <w:rPr>
                <w:szCs w:val="21"/>
              </w:rPr>
            </w:pPr>
            <w:r>
              <w:rPr>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jc w:val="center"/>
        </w:trPr>
        <w:tc>
          <w:tcPr>
            <w:tcW w:w="738" w:type="dxa"/>
            <w:noWrap w:val="0"/>
            <w:vAlign w:val="center"/>
          </w:tcPr>
          <w:p>
            <w:pPr>
              <w:pStyle w:val="28"/>
              <w:widowControl/>
              <w:numPr>
                <w:ilvl w:val="0"/>
                <w:numId w:val="2"/>
              </w:numPr>
              <w:spacing w:line="360" w:lineRule="auto"/>
              <w:ind w:firstLineChars="0"/>
              <w:jc w:val="center"/>
              <w:rPr>
                <w:rFonts w:cs="Times New Roman"/>
                <w:szCs w:val="21"/>
              </w:rPr>
            </w:pPr>
          </w:p>
        </w:tc>
        <w:tc>
          <w:tcPr>
            <w:tcW w:w="1669" w:type="dxa"/>
            <w:noWrap w:val="0"/>
            <w:vAlign w:val="center"/>
          </w:tcPr>
          <w:p>
            <w:pPr>
              <w:jc w:val="center"/>
              <w:rPr>
                <w:color w:val="000000"/>
                <w:kern w:val="0"/>
                <w:szCs w:val="21"/>
              </w:rPr>
            </w:pPr>
            <w:r>
              <w:rPr>
                <w:color w:val="000000"/>
                <w:kern w:val="0"/>
                <w:szCs w:val="21"/>
              </w:rPr>
              <w:t>干污泥缓存仓卸料机</w:t>
            </w:r>
          </w:p>
        </w:tc>
        <w:tc>
          <w:tcPr>
            <w:tcW w:w="4820" w:type="dxa"/>
            <w:noWrap w:val="0"/>
            <w:vAlign w:val="center"/>
          </w:tcPr>
          <w:p>
            <w:pPr>
              <w:spacing w:line="276" w:lineRule="auto"/>
              <w:jc w:val="left"/>
              <w:rPr>
                <w:szCs w:val="21"/>
              </w:rPr>
            </w:pPr>
            <w:r>
              <w:rPr>
                <w:color w:val="000000"/>
                <w:kern w:val="0"/>
                <w:szCs w:val="21"/>
              </w:rPr>
              <w:t>Q=2.5m³/h，形式：双螺旋输送机；</w:t>
            </w:r>
            <w:r>
              <w:rPr>
                <w:szCs w:val="21"/>
              </w:rPr>
              <w:t>变频控制</w:t>
            </w:r>
            <w:r>
              <w:rPr>
                <w:rFonts w:hint="eastAsia"/>
                <w:szCs w:val="21"/>
              </w:rPr>
              <w:t>。</w:t>
            </w:r>
          </w:p>
          <w:p>
            <w:pPr>
              <w:spacing w:line="276" w:lineRule="auto"/>
              <w:jc w:val="left"/>
              <w:rPr>
                <w:color w:val="000000"/>
                <w:kern w:val="0"/>
                <w:szCs w:val="21"/>
              </w:rPr>
            </w:pPr>
            <w:r>
              <w:rPr>
                <w:color w:val="000000"/>
                <w:kern w:val="0"/>
                <w:szCs w:val="21"/>
              </w:rPr>
              <w:t>输送介质：薄层干化机出泥，含水率约40%的半干污泥。</w:t>
            </w:r>
            <w:r>
              <w:rPr>
                <w:szCs w:val="21"/>
              </w:rPr>
              <w:t>叶片、轴：Q355B</w:t>
            </w:r>
            <w:r>
              <w:rPr>
                <w:rFonts w:hint="eastAsia"/>
                <w:szCs w:val="21"/>
              </w:rPr>
              <w:t>；</w:t>
            </w:r>
            <w:r>
              <w:rPr>
                <w:szCs w:val="21"/>
              </w:rPr>
              <w:t>U形槽：不锈钢304</w:t>
            </w:r>
            <w:r>
              <w:rPr>
                <w:rFonts w:hint="eastAsia"/>
                <w:szCs w:val="21"/>
              </w:rPr>
              <w:t>；</w:t>
            </w:r>
            <w:r>
              <w:rPr>
                <w:szCs w:val="21"/>
              </w:rPr>
              <w:t>轴头：45#钢</w:t>
            </w:r>
            <w:r>
              <w:rPr>
                <w:rFonts w:hint="eastAsia"/>
                <w:szCs w:val="21"/>
              </w:rPr>
              <w:t>；</w:t>
            </w:r>
            <w:r>
              <w:rPr>
                <w:szCs w:val="21"/>
              </w:rPr>
              <w:t>密封：三元乙丙橡胶；</w:t>
            </w:r>
          </w:p>
        </w:tc>
        <w:tc>
          <w:tcPr>
            <w:tcW w:w="708" w:type="dxa"/>
            <w:noWrap w:val="0"/>
            <w:vAlign w:val="center"/>
          </w:tcPr>
          <w:p>
            <w:pPr>
              <w:jc w:val="center"/>
              <w:rPr>
                <w:color w:val="000000"/>
                <w:kern w:val="0"/>
                <w:szCs w:val="21"/>
              </w:rPr>
            </w:pPr>
            <w:r>
              <w:rPr>
                <w:color w:val="000000"/>
                <w:kern w:val="0"/>
                <w:szCs w:val="21"/>
              </w:rPr>
              <w:t>套</w:t>
            </w:r>
          </w:p>
        </w:tc>
        <w:tc>
          <w:tcPr>
            <w:tcW w:w="709" w:type="dxa"/>
            <w:noWrap w:val="0"/>
            <w:vAlign w:val="center"/>
          </w:tcPr>
          <w:p>
            <w:pPr>
              <w:jc w:val="center"/>
              <w:rPr>
                <w:szCs w:val="21"/>
              </w:rPr>
            </w:pPr>
            <w:r>
              <w:rPr>
                <w:szCs w:val="21"/>
              </w:rPr>
              <w:t>4</w:t>
            </w:r>
          </w:p>
        </w:tc>
      </w:tr>
    </w:tbl>
    <w:p>
      <w:pPr>
        <w:spacing w:line="360" w:lineRule="auto"/>
        <w:rPr>
          <w:rFonts w:ascii="宋体" w:hAnsi="宋体"/>
          <w:bCs/>
          <w:szCs w:val="21"/>
        </w:rPr>
      </w:pPr>
      <w:r>
        <w:rPr>
          <w:rFonts w:ascii="宋体" w:hAnsi="宋体"/>
          <w:bCs/>
          <w:szCs w:val="21"/>
        </w:rPr>
        <w:t>4、招标范围说明：包括但不限于制造、采购、运输、安装、</w:t>
      </w:r>
      <w:r>
        <w:rPr>
          <w:rFonts w:hint="eastAsia" w:ascii="宋体" w:hAnsi="宋体"/>
          <w:bCs/>
          <w:szCs w:val="21"/>
        </w:rPr>
        <w:t>调试、</w:t>
      </w:r>
      <w:r>
        <w:rPr>
          <w:rFonts w:ascii="宋体" w:hAnsi="宋体"/>
          <w:bCs/>
          <w:szCs w:val="21"/>
        </w:rPr>
        <w:t>技术和售后服务、人员培训等，同时也包括所有必要的材料、备品备件、专用工具等一揽子工作。。</w:t>
      </w:r>
    </w:p>
    <w:p>
      <w:pPr>
        <w:pStyle w:val="4"/>
        <w:snapToGrid w:val="0"/>
        <w:spacing w:line="360" w:lineRule="auto"/>
      </w:pPr>
      <w:r>
        <w:rPr>
          <w:rFonts w:hint="eastAsia"/>
        </w:rPr>
        <w:t>四、投标须知</w:t>
      </w:r>
      <w:bookmarkEnd w:id="8"/>
    </w:p>
    <w:bookmarkEnd w:id="9"/>
    <w:p>
      <w:pPr>
        <w:tabs>
          <w:tab w:val="left" w:pos="426"/>
        </w:tabs>
        <w:adjustRightInd w:val="0"/>
        <w:snapToGrid w:val="0"/>
        <w:spacing w:line="360" w:lineRule="auto"/>
        <w:rPr>
          <w:bCs/>
          <w:szCs w:val="21"/>
        </w:rPr>
      </w:pPr>
      <w:r>
        <w:rPr>
          <w:rFonts w:hint="eastAsia"/>
          <w:bCs/>
          <w:szCs w:val="21"/>
        </w:rPr>
        <w:t>1、招标方式：国内招标采购。</w:t>
      </w:r>
    </w:p>
    <w:p>
      <w:pPr>
        <w:tabs>
          <w:tab w:val="left" w:pos="426"/>
        </w:tabs>
        <w:adjustRightInd w:val="0"/>
        <w:snapToGrid w:val="0"/>
        <w:spacing w:line="360" w:lineRule="auto"/>
        <w:rPr>
          <w:bCs/>
          <w:szCs w:val="21"/>
          <w:highlight w:val="none"/>
        </w:rPr>
      </w:pPr>
      <w:r>
        <w:rPr>
          <w:rFonts w:hint="eastAsia"/>
          <w:bCs/>
          <w:szCs w:val="21"/>
        </w:rPr>
        <w:t>2、招标人名称：北京京城环保股份有限公司</w:t>
      </w:r>
    </w:p>
    <w:p>
      <w:pPr>
        <w:tabs>
          <w:tab w:val="left" w:pos="426"/>
        </w:tabs>
        <w:adjustRightInd w:val="0"/>
        <w:snapToGrid w:val="0"/>
        <w:spacing w:line="360" w:lineRule="auto"/>
        <w:rPr>
          <w:bCs/>
          <w:szCs w:val="21"/>
          <w:highlight w:val="none"/>
        </w:rPr>
      </w:pPr>
      <w:r>
        <w:rPr>
          <w:rFonts w:hint="eastAsia"/>
          <w:bCs/>
          <w:szCs w:val="21"/>
          <w:highlight w:val="none"/>
        </w:rPr>
        <w:t>3、招标联系人及联系方式：郭亮 15001010916，88263171@qq.com。</w:t>
      </w:r>
    </w:p>
    <w:p>
      <w:pPr>
        <w:tabs>
          <w:tab w:val="left" w:pos="426"/>
        </w:tabs>
        <w:adjustRightInd w:val="0"/>
        <w:snapToGrid w:val="0"/>
        <w:spacing w:line="360" w:lineRule="auto"/>
        <w:rPr>
          <w:bCs/>
          <w:szCs w:val="21"/>
          <w:highlight w:val="none"/>
        </w:rPr>
      </w:pPr>
      <w:r>
        <w:rPr>
          <w:rFonts w:hint="eastAsia"/>
          <w:bCs/>
          <w:szCs w:val="21"/>
          <w:highlight w:val="none"/>
        </w:rPr>
        <w:t>4、交货</w:t>
      </w:r>
      <w:r>
        <w:rPr>
          <w:bCs/>
          <w:szCs w:val="21"/>
          <w:highlight w:val="none"/>
        </w:rPr>
        <w:t>时间：</w:t>
      </w:r>
      <w:r>
        <w:rPr>
          <w:rFonts w:hint="eastAsia"/>
          <w:bCs/>
          <w:szCs w:val="21"/>
          <w:highlight w:val="none"/>
        </w:rPr>
        <w:t>20</w:t>
      </w:r>
      <w:r>
        <w:rPr>
          <w:bCs/>
          <w:szCs w:val="21"/>
          <w:highlight w:val="none"/>
        </w:rPr>
        <w:t>2</w:t>
      </w:r>
      <w:r>
        <w:rPr>
          <w:rFonts w:hint="eastAsia"/>
          <w:bCs/>
          <w:szCs w:val="21"/>
          <w:highlight w:val="none"/>
          <w:lang w:val="en-US" w:eastAsia="zh-CN"/>
        </w:rPr>
        <w:t>2</w:t>
      </w:r>
      <w:r>
        <w:rPr>
          <w:rFonts w:hint="eastAsia"/>
          <w:bCs/>
          <w:szCs w:val="21"/>
          <w:highlight w:val="none"/>
        </w:rPr>
        <w:t>年</w:t>
      </w:r>
      <w:r>
        <w:rPr>
          <w:bCs/>
          <w:szCs w:val="21"/>
          <w:highlight w:val="none"/>
        </w:rPr>
        <w:t>3</w:t>
      </w:r>
      <w:r>
        <w:rPr>
          <w:rFonts w:hint="eastAsia"/>
          <w:bCs/>
          <w:szCs w:val="21"/>
          <w:highlight w:val="none"/>
        </w:rPr>
        <w:t>月（预计）</w:t>
      </w:r>
    </w:p>
    <w:p>
      <w:pPr>
        <w:tabs>
          <w:tab w:val="left" w:pos="426"/>
        </w:tabs>
        <w:adjustRightInd w:val="0"/>
        <w:snapToGrid w:val="0"/>
        <w:spacing w:line="360" w:lineRule="auto"/>
        <w:rPr>
          <w:bCs/>
          <w:szCs w:val="21"/>
          <w:highlight w:val="none"/>
        </w:rPr>
      </w:pPr>
      <w:r>
        <w:rPr>
          <w:rFonts w:hint="eastAsia"/>
          <w:bCs/>
          <w:szCs w:val="21"/>
          <w:highlight w:val="none"/>
        </w:rPr>
        <w:t>5、具体技术要求：按照招标文件要求。</w:t>
      </w:r>
    </w:p>
    <w:p>
      <w:pPr>
        <w:tabs>
          <w:tab w:val="left" w:pos="426"/>
        </w:tabs>
        <w:adjustRightInd w:val="0"/>
        <w:snapToGrid w:val="0"/>
        <w:spacing w:line="360" w:lineRule="auto"/>
        <w:rPr>
          <w:bCs/>
          <w:szCs w:val="21"/>
        </w:rPr>
      </w:pPr>
      <w:r>
        <w:rPr>
          <w:rFonts w:hint="eastAsia"/>
          <w:bCs/>
          <w:szCs w:val="21"/>
        </w:rPr>
        <w:t>6、评标方法：综合评标法。</w:t>
      </w:r>
    </w:p>
    <w:p>
      <w:pPr>
        <w:tabs>
          <w:tab w:val="left" w:pos="426"/>
        </w:tabs>
        <w:adjustRightInd w:val="0"/>
        <w:snapToGrid w:val="0"/>
        <w:spacing w:line="360" w:lineRule="auto"/>
        <w:rPr>
          <w:bCs/>
          <w:szCs w:val="21"/>
        </w:rPr>
      </w:pPr>
      <w:r>
        <w:rPr>
          <w:rFonts w:hint="eastAsia"/>
          <w:bCs/>
          <w:szCs w:val="21"/>
        </w:rPr>
        <w:t>7、开标时间：</w:t>
      </w:r>
      <w:r>
        <w:rPr>
          <w:rFonts w:hint="eastAsia"/>
          <w:bCs/>
          <w:szCs w:val="21"/>
          <w:highlight w:val="none"/>
        </w:rPr>
        <w:t>2021年</w:t>
      </w:r>
      <w:r>
        <w:rPr>
          <w:rFonts w:hint="eastAsia"/>
          <w:bCs/>
          <w:szCs w:val="21"/>
          <w:highlight w:val="none"/>
          <w:lang w:val="en-US" w:eastAsia="zh-CN"/>
        </w:rPr>
        <w:t>12</w:t>
      </w:r>
      <w:r>
        <w:rPr>
          <w:rFonts w:hint="eastAsia"/>
          <w:bCs/>
          <w:szCs w:val="21"/>
          <w:highlight w:val="none"/>
        </w:rPr>
        <w:t>月</w:t>
      </w:r>
      <w:r>
        <w:rPr>
          <w:rFonts w:hint="eastAsia"/>
          <w:bCs/>
          <w:szCs w:val="21"/>
          <w:highlight w:val="none"/>
          <w:lang w:val="en-US" w:eastAsia="zh-CN"/>
        </w:rPr>
        <w:t>3</w:t>
      </w:r>
      <w:r>
        <w:rPr>
          <w:rFonts w:hint="eastAsia"/>
          <w:bCs/>
          <w:szCs w:val="21"/>
          <w:highlight w:val="none"/>
        </w:rPr>
        <w:t xml:space="preserve">日 </w:t>
      </w:r>
      <w:r>
        <w:rPr>
          <w:rFonts w:hint="eastAsia"/>
          <w:bCs/>
          <w:szCs w:val="21"/>
          <w:highlight w:val="none"/>
          <w:lang w:eastAsia="zh-CN"/>
        </w:rPr>
        <w:t>上午</w:t>
      </w:r>
      <w:r>
        <w:rPr>
          <w:rFonts w:hint="eastAsia"/>
          <w:bCs/>
          <w:szCs w:val="21"/>
          <w:highlight w:val="none"/>
          <w:lang w:val="en-US" w:eastAsia="zh-CN"/>
        </w:rPr>
        <w:t>9</w:t>
      </w:r>
      <w:r>
        <w:rPr>
          <w:rFonts w:hint="eastAsia"/>
          <w:szCs w:val="21"/>
          <w:highlight w:val="none"/>
        </w:rPr>
        <w:t>时</w:t>
      </w:r>
      <w:r>
        <w:rPr>
          <w:rFonts w:hint="eastAsia"/>
          <w:szCs w:val="21"/>
          <w:highlight w:val="none"/>
          <w:lang w:val="en-US" w:eastAsia="zh-CN"/>
        </w:rPr>
        <w:t>00</w:t>
      </w:r>
      <w:r>
        <w:rPr>
          <w:rFonts w:hint="eastAsia"/>
          <w:szCs w:val="21"/>
          <w:highlight w:val="none"/>
        </w:rPr>
        <w:t>分</w:t>
      </w:r>
      <w:r>
        <w:rPr>
          <w:szCs w:val="21"/>
          <w:highlight w:val="none"/>
        </w:rPr>
        <w:t>（北京时间）</w:t>
      </w:r>
    </w:p>
    <w:p>
      <w:pPr>
        <w:tabs>
          <w:tab w:val="left" w:pos="426"/>
        </w:tabs>
        <w:adjustRightInd w:val="0"/>
        <w:snapToGrid w:val="0"/>
        <w:spacing w:line="360" w:lineRule="auto"/>
        <w:rPr>
          <w:bCs/>
          <w:szCs w:val="21"/>
        </w:rPr>
      </w:pPr>
      <w:r>
        <w:rPr>
          <w:rFonts w:hint="eastAsia"/>
          <w:bCs/>
          <w:szCs w:val="21"/>
        </w:rPr>
        <w:t>8、开标地点：北京市朝阳区工体北路6号凯富大厦</w:t>
      </w:r>
      <w:r>
        <w:rPr>
          <w:bCs/>
          <w:szCs w:val="21"/>
        </w:rPr>
        <w:t>3</w:t>
      </w:r>
      <w:r>
        <w:rPr>
          <w:rFonts w:hint="eastAsia"/>
          <w:bCs/>
          <w:szCs w:val="21"/>
        </w:rPr>
        <w:t>层大会议室。</w:t>
      </w:r>
    </w:p>
    <w:p>
      <w:pPr>
        <w:adjustRightInd w:val="0"/>
        <w:snapToGrid w:val="0"/>
        <w:spacing w:line="360" w:lineRule="auto"/>
        <w:rPr>
          <w:bCs/>
          <w:szCs w:val="21"/>
        </w:rPr>
      </w:pPr>
      <w:r>
        <w:rPr>
          <w:rFonts w:hint="eastAsia"/>
          <w:bCs/>
          <w:szCs w:val="21"/>
        </w:rPr>
        <w:t>9、招标联系人地点：北京市朝阳区工体北路6号凯富大厦</w:t>
      </w:r>
      <w:r>
        <w:rPr>
          <w:bCs/>
          <w:szCs w:val="21"/>
        </w:rPr>
        <w:t>3</w:t>
      </w:r>
      <w:r>
        <w:rPr>
          <w:rFonts w:hint="eastAsia"/>
          <w:bCs/>
          <w:szCs w:val="21"/>
        </w:rPr>
        <w:t>层。</w:t>
      </w:r>
    </w:p>
    <w:p>
      <w:pPr>
        <w:tabs>
          <w:tab w:val="left" w:pos="426"/>
        </w:tabs>
        <w:adjustRightInd w:val="0"/>
        <w:snapToGrid w:val="0"/>
        <w:spacing w:line="360" w:lineRule="auto"/>
        <w:rPr>
          <w:bCs/>
          <w:szCs w:val="21"/>
        </w:rPr>
      </w:pPr>
      <w:r>
        <w:rPr>
          <w:rFonts w:hint="eastAsia"/>
          <w:bCs/>
          <w:szCs w:val="21"/>
        </w:rPr>
        <w:t>10、招标文件发售时间：2021年</w:t>
      </w:r>
      <w:r>
        <w:rPr>
          <w:rFonts w:hint="eastAsia"/>
          <w:bCs/>
          <w:szCs w:val="21"/>
          <w:lang w:val="en-US" w:eastAsia="zh-CN"/>
        </w:rPr>
        <w:t>11</w:t>
      </w:r>
      <w:r>
        <w:rPr>
          <w:rFonts w:hint="eastAsia"/>
          <w:bCs/>
          <w:szCs w:val="21"/>
        </w:rPr>
        <w:t>月</w:t>
      </w:r>
      <w:r>
        <w:rPr>
          <w:rFonts w:hint="eastAsia"/>
          <w:bCs/>
          <w:szCs w:val="21"/>
          <w:lang w:val="en-US" w:eastAsia="zh-CN"/>
        </w:rPr>
        <w:t>15</w:t>
      </w:r>
      <w:r>
        <w:rPr>
          <w:rFonts w:hint="eastAsia"/>
          <w:bCs/>
          <w:szCs w:val="21"/>
        </w:rPr>
        <w:t>日～2021年</w:t>
      </w:r>
      <w:r>
        <w:rPr>
          <w:rFonts w:hint="eastAsia"/>
          <w:bCs/>
          <w:szCs w:val="21"/>
          <w:lang w:val="en-US" w:eastAsia="zh-CN"/>
        </w:rPr>
        <w:t>11</w:t>
      </w:r>
      <w:r>
        <w:rPr>
          <w:rFonts w:hint="eastAsia"/>
          <w:bCs/>
          <w:szCs w:val="21"/>
        </w:rPr>
        <w:t>月</w:t>
      </w:r>
      <w:r>
        <w:rPr>
          <w:rFonts w:hint="eastAsia"/>
          <w:bCs/>
          <w:szCs w:val="21"/>
          <w:lang w:val="en-US" w:eastAsia="zh-CN"/>
        </w:rPr>
        <w:t>29</w:t>
      </w:r>
      <w:r>
        <w:rPr>
          <w:rFonts w:hint="eastAsia"/>
          <w:bCs/>
          <w:szCs w:val="21"/>
        </w:rPr>
        <w:t>日。</w:t>
      </w:r>
    </w:p>
    <w:p>
      <w:pPr>
        <w:tabs>
          <w:tab w:val="left" w:pos="426"/>
        </w:tabs>
        <w:adjustRightInd w:val="0"/>
        <w:snapToGrid w:val="0"/>
        <w:spacing w:line="360" w:lineRule="auto"/>
        <w:rPr>
          <w:bCs/>
          <w:szCs w:val="21"/>
        </w:rPr>
      </w:pPr>
      <w:r>
        <w:rPr>
          <w:rFonts w:hint="eastAsia"/>
          <w:bCs/>
          <w:szCs w:val="21"/>
        </w:rPr>
        <w:t>11、招标文件澄清及答疑时间：2021年</w:t>
      </w:r>
      <w:r>
        <w:rPr>
          <w:rFonts w:hint="eastAsia"/>
          <w:bCs/>
          <w:szCs w:val="21"/>
          <w:lang w:val="en-US" w:eastAsia="zh-CN"/>
        </w:rPr>
        <w:t>12</w:t>
      </w:r>
      <w:r>
        <w:rPr>
          <w:rFonts w:hint="eastAsia"/>
          <w:bCs/>
          <w:szCs w:val="21"/>
        </w:rPr>
        <w:t>月</w:t>
      </w:r>
      <w:r>
        <w:rPr>
          <w:rFonts w:hint="eastAsia"/>
          <w:bCs/>
          <w:szCs w:val="21"/>
          <w:lang w:val="en-US" w:eastAsia="zh-CN"/>
        </w:rPr>
        <w:t>1</w:t>
      </w:r>
      <w:r>
        <w:rPr>
          <w:rFonts w:hint="eastAsia"/>
          <w:bCs/>
          <w:szCs w:val="21"/>
        </w:rPr>
        <w:t>日，招标方尽快给于答疑。</w:t>
      </w:r>
    </w:p>
    <w:p>
      <w:pPr>
        <w:tabs>
          <w:tab w:val="left" w:pos="426"/>
        </w:tabs>
        <w:adjustRightInd w:val="0"/>
        <w:snapToGrid w:val="0"/>
        <w:spacing w:line="360" w:lineRule="auto"/>
        <w:rPr>
          <w:bCs/>
          <w:szCs w:val="21"/>
        </w:rPr>
      </w:pPr>
      <w:r>
        <w:rPr>
          <w:rFonts w:hint="eastAsia"/>
          <w:bCs/>
          <w:szCs w:val="21"/>
        </w:rPr>
        <w:t>12、</w:t>
      </w:r>
      <w:r>
        <w:rPr>
          <w:rFonts w:hint="eastAsia"/>
          <w:szCs w:val="21"/>
          <w:highlight w:val="yellow"/>
        </w:rPr>
        <w:t>投标人“采用有限数量制”：投标人“采用有限数量制”：合格单位不足9家全部邀请，超过</w:t>
      </w:r>
      <w:r>
        <w:rPr>
          <w:szCs w:val="21"/>
          <w:highlight w:val="yellow"/>
        </w:rPr>
        <w:t>9</w:t>
      </w:r>
      <w:r>
        <w:rPr>
          <w:rFonts w:hint="eastAsia"/>
          <w:szCs w:val="21"/>
          <w:highlight w:val="yellow"/>
        </w:rPr>
        <w:t>家取资格审核排名前9的申请人。</w:t>
      </w:r>
    </w:p>
    <w:p>
      <w:pPr>
        <w:tabs>
          <w:tab w:val="left" w:pos="426"/>
        </w:tabs>
        <w:adjustRightInd w:val="0"/>
        <w:snapToGrid w:val="0"/>
        <w:spacing w:line="360" w:lineRule="auto"/>
        <w:rPr>
          <w:bCs/>
          <w:szCs w:val="21"/>
        </w:rPr>
      </w:pPr>
      <w:r>
        <w:rPr>
          <w:rFonts w:hint="eastAsia"/>
          <w:bCs/>
          <w:szCs w:val="21"/>
        </w:rPr>
        <w:t>13、媒介：本次公告在中国采购与招标网（</w:t>
      </w:r>
      <w:r>
        <w:fldChar w:fldCharType="begin"/>
      </w:r>
      <w:r>
        <w:instrText xml:space="preserve">HYPERLINK "http://www.http://www.chinabidding.com.cn"</w:instrText>
      </w:r>
      <w:r>
        <w:fldChar w:fldCharType="separate"/>
      </w:r>
      <w:r>
        <w:rPr>
          <w:rFonts w:hint="eastAsia"/>
          <w:bCs/>
          <w:szCs w:val="21"/>
        </w:rPr>
        <w:t>http://www.chinabidding.com.cn</w:t>
      </w:r>
      <w:r>
        <w:fldChar w:fldCharType="end"/>
      </w:r>
      <w:r>
        <w:rPr>
          <w:rFonts w:hint="eastAsia"/>
          <w:bCs/>
          <w:szCs w:val="21"/>
        </w:rPr>
        <w:t>）、中国固废网（</w:t>
      </w:r>
      <w:r>
        <w:rPr>
          <w:bCs/>
          <w:szCs w:val="21"/>
        </w:rPr>
        <w:t>http://www.solidwaste.com.cn/</w:t>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pPr>
        <w:numPr>
          <w:ilvl w:val="0"/>
          <w:numId w:val="3"/>
        </w:numPr>
        <w:tabs>
          <w:tab w:val="left" w:pos="426"/>
        </w:tabs>
        <w:adjustRightInd w:val="0"/>
        <w:snapToGrid w:val="0"/>
        <w:spacing w:line="360" w:lineRule="auto"/>
        <w:rPr>
          <w:bCs/>
          <w:szCs w:val="21"/>
        </w:rPr>
      </w:pPr>
      <w:r>
        <w:rPr>
          <w:rFonts w:hint="eastAsia"/>
          <w:bCs/>
          <w:szCs w:val="21"/>
        </w:rPr>
        <w:t>上述所有时间均为北京时间。</w:t>
      </w:r>
    </w:p>
    <w:p>
      <w:pPr>
        <w:pStyle w:val="4"/>
        <w:snapToGrid w:val="0"/>
        <w:spacing w:line="360" w:lineRule="auto"/>
      </w:pPr>
      <w:bookmarkStart w:id="10" w:name="_Toc471479163"/>
      <w:r>
        <w:rPr>
          <w:rFonts w:hint="eastAsia"/>
        </w:rPr>
        <w:t>五、投标人资格要求</w:t>
      </w:r>
      <w:bookmarkEnd w:id="10"/>
    </w:p>
    <w:p>
      <w:pPr>
        <w:pStyle w:val="11"/>
        <w:adjustRightInd w:val="0"/>
        <w:snapToGrid w:val="0"/>
        <w:spacing w:line="360" w:lineRule="auto"/>
        <w:ind w:firstLine="0" w:firstLineChars="0"/>
        <w:rPr>
          <w:bCs/>
          <w:sz w:val="21"/>
          <w:szCs w:val="21"/>
        </w:rPr>
      </w:pPr>
      <w:r>
        <w:rPr>
          <w:rFonts w:hint="eastAsia"/>
          <w:bCs/>
          <w:sz w:val="21"/>
          <w:szCs w:val="21"/>
        </w:rPr>
        <w:t>1</w:t>
      </w:r>
      <w:r>
        <w:rPr>
          <w:bCs/>
          <w:sz w:val="21"/>
          <w:szCs w:val="21"/>
        </w:rPr>
        <w:t>、供应商应当具备下列条件：</w:t>
      </w:r>
    </w:p>
    <w:p>
      <w:pPr>
        <w:pStyle w:val="11"/>
        <w:numPr>
          <w:ilvl w:val="1"/>
          <w:numId w:val="4"/>
        </w:numPr>
        <w:adjustRightInd w:val="0"/>
        <w:snapToGrid w:val="0"/>
        <w:spacing w:line="360" w:lineRule="auto"/>
        <w:ind w:left="0" w:firstLine="0" w:firstLineChars="0"/>
        <w:rPr>
          <w:bCs/>
          <w:sz w:val="21"/>
          <w:szCs w:val="21"/>
        </w:rPr>
      </w:pPr>
      <w:r>
        <w:rPr>
          <w:bCs/>
          <w:sz w:val="21"/>
          <w:szCs w:val="21"/>
        </w:rPr>
        <w:t>具备履行民事责任能力的独立法人</w:t>
      </w:r>
      <w:r>
        <w:rPr>
          <w:rFonts w:hint="eastAsia"/>
          <w:bCs/>
          <w:sz w:val="21"/>
          <w:szCs w:val="21"/>
        </w:rPr>
        <w:t>，注册资本金不低于</w:t>
      </w:r>
      <w:r>
        <w:rPr>
          <w:bCs/>
          <w:sz w:val="21"/>
          <w:szCs w:val="21"/>
          <w:highlight w:val="yellow"/>
        </w:rPr>
        <w:t>2000</w:t>
      </w:r>
      <w:r>
        <w:rPr>
          <w:rFonts w:hint="eastAsia"/>
          <w:bCs/>
          <w:sz w:val="21"/>
          <w:szCs w:val="21"/>
          <w:highlight w:val="yellow"/>
        </w:rPr>
        <w:t>万元</w:t>
      </w:r>
      <w:r>
        <w:rPr>
          <w:rFonts w:hint="eastAsia"/>
          <w:bCs/>
          <w:sz w:val="21"/>
          <w:szCs w:val="21"/>
        </w:rPr>
        <w:t>；</w:t>
      </w:r>
    </w:p>
    <w:p>
      <w:pPr>
        <w:pStyle w:val="28"/>
        <w:numPr>
          <w:ilvl w:val="1"/>
          <w:numId w:val="4"/>
        </w:numPr>
        <w:adjustRightInd w:val="0"/>
        <w:snapToGrid w:val="0"/>
        <w:spacing w:line="360" w:lineRule="auto"/>
        <w:ind w:left="0" w:firstLine="0" w:firstLineChars="0"/>
        <w:jc w:val="left"/>
        <w:rPr>
          <w:rFonts w:cs="Times New Roman"/>
          <w:bCs/>
          <w:szCs w:val="21"/>
          <w:highlight w:val="yellow"/>
        </w:rPr>
      </w:pPr>
      <w:r>
        <w:rPr>
          <w:rFonts w:hint="eastAsia" w:cs="Times New Roman"/>
          <w:bCs/>
          <w:szCs w:val="21"/>
        </w:rPr>
        <w:t>具有类似项目的供货服务经验；</w:t>
      </w:r>
      <w:r>
        <w:rPr>
          <w:rFonts w:hint="eastAsia" w:cs="Times New Roman"/>
          <w:bCs/>
          <w:szCs w:val="21"/>
          <w:highlight w:val="yellow"/>
        </w:rPr>
        <w:t>至少具备</w:t>
      </w:r>
      <w:r>
        <w:rPr>
          <w:rFonts w:cs="Times New Roman"/>
          <w:bCs/>
          <w:szCs w:val="21"/>
          <w:highlight w:val="yellow"/>
        </w:rPr>
        <w:t>10个容积为6m</w:t>
      </w:r>
      <w:r>
        <w:rPr>
          <w:rFonts w:cs="Times New Roman"/>
          <w:bCs/>
          <w:szCs w:val="21"/>
          <w:highlight w:val="yellow"/>
          <w:vertAlign w:val="superscript"/>
        </w:rPr>
        <w:t>3</w:t>
      </w:r>
      <w:r>
        <w:rPr>
          <w:rFonts w:cs="Times New Roman"/>
          <w:bCs/>
          <w:szCs w:val="21"/>
          <w:highlight w:val="yellow"/>
        </w:rPr>
        <w:t>及以上干污泥缓存仓及配套液压系统和滑架的已投产且现阶段稳定运行的业绩；（干污泥为经过热干化后含水率30~55%之间的半干污泥）</w:t>
      </w:r>
    </w:p>
    <w:p>
      <w:pPr>
        <w:pStyle w:val="28"/>
        <w:numPr>
          <w:ilvl w:val="1"/>
          <w:numId w:val="4"/>
        </w:numPr>
        <w:spacing w:line="360" w:lineRule="auto"/>
        <w:ind w:firstLineChars="0"/>
        <w:rPr>
          <w:rFonts w:cs="Times New Roman"/>
          <w:bCs/>
          <w:szCs w:val="21"/>
        </w:rPr>
      </w:pPr>
      <w:r>
        <w:rPr>
          <w:rFonts w:hint="eastAsia" w:cs="Times New Roman"/>
          <w:bCs/>
          <w:szCs w:val="21"/>
        </w:rPr>
        <w:t>投标的液压油泵品牌应为德国力士乐或同档次的其他品牌，不能低于此品牌。</w:t>
      </w:r>
    </w:p>
    <w:p>
      <w:pPr>
        <w:pStyle w:val="11"/>
        <w:numPr>
          <w:ilvl w:val="1"/>
          <w:numId w:val="4"/>
        </w:numPr>
        <w:adjustRightInd w:val="0"/>
        <w:snapToGrid w:val="0"/>
        <w:spacing w:line="360" w:lineRule="auto"/>
        <w:ind w:left="0" w:firstLine="0" w:firstLineChars="0"/>
        <w:rPr>
          <w:bCs/>
          <w:sz w:val="21"/>
          <w:szCs w:val="21"/>
        </w:rPr>
      </w:pPr>
      <w:r>
        <w:rPr>
          <w:bCs/>
          <w:sz w:val="21"/>
          <w:szCs w:val="21"/>
        </w:rPr>
        <w:t>具有履行合同所必需的设备和专业技术能力；</w:t>
      </w:r>
    </w:p>
    <w:p>
      <w:pPr>
        <w:pStyle w:val="11"/>
        <w:numPr>
          <w:ilvl w:val="1"/>
          <w:numId w:val="4"/>
        </w:numPr>
        <w:adjustRightInd w:val="0"/>
        <w:snapToGrid w:val="0"/>
        <w:spacing w:line="360" w:lineRule="auto"/>
        <w:ind w:left="0" w:firstLine="0" w:firstLineChars="0"/>
        <w:rPr>
          <w:bCs/>
          <w:sz w:val="21"/>
          <w:szCs w:val="21"/>
        </w:rPr>
      </w:pPr>
      <w:r>
        <w:rPr>
          <w:rFonts w:hint="eastAsia"/>
          <w:bCs/>
          <w:sz w:val="21"/>
          <w:szCs w:val="21"/>
        </w:rPr>
        <w:t>具有良好的银行资信和商业信誉</w:t>
      </w:r>
      <w:r>
        <w:rPr>
          <w:bCs/>
          <w:sz w:val="21"/>
          <w:szCs w:val="21"/>
        </w:rPr>
        <w:t>；</w:t>
      </w:r>
    </w:p>
    <w:p>
      <w:pPr>
        <w:pStyle w:val="11"/>
        <w:numPr>
          <w:ilvl w:val="1"/>
          <w:numId w:val="4"/>
        </w:numPr>
        <w:adjustRightInd w:val="0"/>
        <w:snapToGrid w:val="0"/>
        <w:spacing w:line="360" w:lineRule="auto"/>
        <w:ind w:left="0" w:firstLine="0" w:firstLineChars="0"/>
        <w:rPr>
          <w:bCs/>
          <w:sz w:val="21"/>
          <w:szCs w:val="21"/>
        </w:rPr>
      </w:pPr>
      <w:r>
        <w:rPr>
          <w:bCs/>
          <w:sz w:val="21"/>
          <w:szCs w:val="21"/>
        </w:rPr>
        <w:t>参加</w:t>
      </w:r>
      <w:r>
        <w:rPr>
          <w:rFonts w:hint="eastAsia"/>
          <w:bCs/>
          <w:sz w:val="21"/>
          <w:szCs w:val="21"/>
        </w:rPr>
        <w:t>招投标活动2</w:t>
      </w:r>
      <w:r>
        <w:rPr>
          <w:bCs/>
          <w:sz w:val="21"/>
          <w:szCs w:val="21"/>
        </w:rPr>
        <w:t>年内没有</w:t>
      </w:r>
      <w:r>
        <w:rPr>
          <w:rFonts w:hint="eastAsia"/>
          <w:bCs/>
          <w:sz w:val="21"/>
          <w:szCs w:val="21"/>
        </w:rPr>
        <w:t>相关</w:t>
      </w:r>
      <w:r>
        <w:rPr>
          <w:bCs/>
          <w:sz w:val="21"/>
          <w:szCs w:val="21"/>
        </w:rPr>
        <w:t>违法</w:t>
      </w:r>
      <w:r>
        <w:rPr>
          <w:rFonts w:hint="eastAsia"/>
          <w:bCs/>
          <w:sz w:val="21"/>
          <w:szCs w:val="21"/>
        </w:rPr>
        <w:t>或者违法嫌疑</w:t>
      </w:r>
      <w:r>
        <w:rPr>
          <w:bCs/>
          <w:sz w:val="21"/>
          <w:szCs w:val="21"/>
        </w:rPr>
        <w:t>记录。</w:t>
      </w:r>
    </w:p>
    <w:p>
      <w:pPr>
        <w:pStyle w:val="21"/>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pPr>
        <w:pStyle w:val="11"/>
        <w:adjustRightInd w:val="0"/>
        <w:snapToGrid w:val="0"/>
        <w:spacing w:line="360" w:lineRule="auto"/>
        <w:ind w:firstLine="0" w:firstLineChars="0"/>
        <w:rPr>
          <w:bCs/>
          <w:sz w:val="21"/>
          <w:szCs w:val="21"/>
        </w:rPr>
      </w:pPr>
      <w:r>
        <w:rPr>
          <w:bCs/>
          <w:sz w:val="21"/>
          <w:szCs w:val="21"/>
        </w:rPr>
        <w:t>（1）企业营业执照</w:t>
      </w:r>
      <w:r>
        <w:rPr>
          <w:rFonts w:hint="eastAsia"/>
          <w:bCs/>
          <w:sz w:val="21"/>
          <w:szCs w:val="21"/>
        </w:rPr>
        <w:t>、组织机构代码、税务登记证（三证合一）</w:t>
      </w:r>
      <w:r>
        <w:rPr>
          <w:bCs/>
          <w:sz w:val="21"/>
          <w:szCs w:val="21"/>
        </w:rPr>
        <w:t>副本复印件；</w:t>
      </w:r>
    </w:p>
    <w:p>
      <w:pPr>
        <w:pStyle w:val="11"/>
        <w:adjustRightInd w:val="0"/>
        <w:snapToGrid w:val="0"/>
        <w:spacing w:line="360" w:lineRule="auto"/>
        <w:ind w:firstLine="0" w:firstLineChars="0"/>
        <w:rPr>
          <w:bCs/>
          <w:sz w:val="21"/>
          <w:szCs w:val="21"/>
        </w:rPr>
      </w:pPr>
      <w:r>
        <w:rPr>
          <w:bCs/>
          <w:sz w:val="21"/>
          <w:szCs w:val="21"/>
        </w:rPr>
        <w:t>（2）</w:t>
      </w:r>
      <w:r>
        <w:rPr>
          <w:rFonts w:hint="eastAsia"/>
          <w:bCs/>
          <w:sz w:val="21"/>
          <w:szCs w:val="21"/>
        </w:rPr>
        <w:t>法定代表人授权委托书原件，法人身份证、委托代理人身份证复印件</w:t>
      </w:r>
      <w:r>
        <w:rPr>
          <w:bCs/>
          <w:sz w:val="21"/>
          <w:szCs w:val="21"/>
        </w:rPr>
        <w:t>；</w:t>
      </w:r>
    </w:p>
    <w:p>
      <w:pPr>
        <w:pStyle w:val="11"/>
        <w:adjustRightInd w:val="0"/>
        <w:snapToGrid w:val="0"/>
        <w:spacing w:line="360" w:lineRule="auto"/>
        <w:ind w:firstLine="0" w:firstLineChars="0"/>
        <w:rPr>
          <w:bCs/>
          <w:sz w:val="21"/>
          <w:szCs w:val="21"/>
        </w:rPr>
      </w:pPr>
      <w:r>
        <w:rPr>
          <w:bCs/>
          <w:sz w:val="21"/>
          <w:szCs w:val="21"/>
        </w:rPr>
        <w:t>（3）</w:t>
      </w:r>
      <w:r>
        <w:rPr>
          <w:rFonts w:hint="eastAsia"/>
          <w:bCs/>
          <w:sz w:val="21"/>
          <w:szCs w:val="21"/>
        </w:rPr>
        <w:t>近3年有3个相应或类似业绩合同或者证明文件的</w:t>
      </w:r>
      <w:r>
        <w:rPr>
          <w:bCs/>
          <w:sz w:val="21"/>
          <w:szCs w:val="21"/>
        </w:rPr>
        <w:t>复印件</w:t>
      </w:r>
      <w:r>
        <w:rPr>
          <w:rFonts w:hint="eastAsia"/>
          <w:bCs/>
          <w:sz w:val="21"/>
          <w:szCs w:val="21"/>
        </w:rPr>
        <w:t>（垃圾焚烧项目优先）</w:t>
      </w:r>
      <w:r>
        <w:rPr>
          <w:bCs/>
          <w:sz w:val="21"/>
          <w:szCs w:val="21"/>
        </w:rPr>
        <w:t>；</w:t>
      </w:r>
    </w:p>
    <w:p>
      <w:pPr>
        <w:pStyle w:val="11"/>
        <w:adjustRightInd w:val="0"/>
        <w:snapToGrid w:val="0"/>
        <w:spacing w:line="360" w:lineRule="auto"/>
        <w:ind w:firstLine="0" w:firstLineChars="0"/>
        <w:rPr>
          <w:bCs/>
          <w:sz w:val="21"/>
          <w:szCs w:val="21"/>
        </w:rPr>
      </w:pPr>
      <w:r>
        <w:rPr>
          <w:bCs/>
          <w:sz w:val="21"/>
          <w:szCs w:val="21"/>
        </w:rPr>
        <w:t>（4）</w:t>
      </w:r>
      <w:r>
        <w:rPr>
          <w:rFonts w:hint="eastAsia"/>
          <w:bCs/>
          <w:sz w:val="21"/>
          <w:szCs w:val="21"/>
        </w:rPr>
        <w:t>提供无处于被责令停业，财产被接管，冻结、破产状态的证明（或承诺）文件</w:t>
      </w:r>
      <w:r>
        <w:rPr>
          <w:bCs/>
          <w:sz w:val="21"/>
          <w:szCs w:val="21"/>
        </w:rPr>
        <w:t>；</w:t>
      </w:r>
    </w:p>
    <w:p>
      <w:pPr>
        <w:pStyle w:val="11"/>
        <w:adjustRightInd w:val="0"/>
        <w:snapToGrid w:val="0"/>
        <w:spacing w:line="360" w:lineRule="auto"/>
        <w:ind w:firstLine="0" w:firstLineChars="0"/>
        <w:rPr>
          <w:bCs/>
          <w:sz w:val="21"/>
          <w:szCs w:val="21"/>
        </w:rPr>
      </w:pPr>
      <w:r>
        <w:rPr>
          <w:bCs/>
          <w:sz w:val="21"/>
          <w:szCs w:val="21"/>
        </w:rPr>
        <w:t>（5）</w:t>
      </w:r>
      <w:r>
        <w:rPr>
          <w:rFonts w:hint="eastAsia"/>
          <w:bCs/>
          <w:sz w:val="21"/>
          <w:szCs w:val="21"/>
        </w:rPr>
        <w:t>提供无京城环保员工或亲属在贵公司任职或控股的证明（或承诺）文件；</w:t>
      </w:r>
    </w:p>
    <w:p>
      <w:pPr>
        <w:pStyle w:val="11"/>
        <w:adjustRightInd w:val="0"/>
        <w:snapToGrid w:val="0"/>
        <w:spacing w:line="360" w:lineRule="auto"/>
        <w:ind w:firstLine="0" w:firstLineChars="0"/>
        <w:rPr>
          <w:bCs/>
          <w:sz w:val="21"/>
          <w:szCs w:val="21"/>
        </w:rPr>
      </w:pPr>
      <w:r>
        <w:rPr>
          <w:rFonts w:hint="eastAsia"/>
          <w:bCs/>
          <w:sz w:val="21"/>
          <w:szCs w:val="21"/>
        </w:rPr>
        <w:t>（6）提供中标后不得转包的承诺文件；</w:t>
      </w:r>
    </w:p>
    <w:p>
      <w:pPr>
        <w:pStyle w:val="11"/>
        <w:adjustRightInd w:val="0"/>
        <w:snapToGrid w:val="0"/>
        <w:spacing w:line="360" w:lineRule="auto"/>
        <w:ind w:firstLine="0" w:firstLineChars="0"/>
        <w:rPr>
          <w:bCs/>
          <w:sz w:val="21"/>
          <w:szCs w:val="21"/>
        </w:rPr>
      </w:pPr>
      <w:r>
        <w:rPr>
          <w:bCs/>
          <w:sz w:val="21"/>
          <w:szCs w:val="21"/>
        </w:rPr>
        <w:t>（</w:t>
      </w:r>
      <w:r>
        <w:rPr>
          <w:rFonts w:hint="eastAsia"/>
          <w:bCs/>
          <w:sz w:val="21"/>
          <w:szCs w:val="21"/>
        </w:rPr>
        <w:t>7</w:t>
      </w:r>
      <w:r>
        <w:rPr>
          <w:bCs/>
          <w:sz w:val="21"/>
          <w:szCs w:val="21"/>
        </w:rPr>
        <w:t>）</w:t>
      </w:r>
      <w:r>
        <w:rPr>
          <w:rFonts w:hint="eastAsia"/>
          <w:bCs/>
          <w:sz w:val="21"/>
          <w:szCs w:val="21"/>
        </w:rPr>
        <w:t>投标申请函及附表。</w:t>
      </w:r>
    </w:p>
    <w:p>
      <w:pPr>
        <w:pStyle w:val="4"/>
        <w:snapToGrid w:val="0"/>
        <w:spacing w:line="360" w:lineRule="auto"/>
      </w:pPr>
      <w:bookmarkStart w:id="11" w:name="_Toc471479164"/>
      <w:r>
        <w:rPr>
          <w:rFonts w:hint="eastAsia"/>
        </w:rPr>
        <w:t>六、投标费用</w:t>
      </w:r>
      <w:bookmarkEnd w:id="11"/>
    </w:p>
    <w:p>
      <w:pPr>
        <w:numPr>
          <w:ilvl w:val="0"/>
          <w:numId w:val="5"/>
        </w:numPr>
        <w:adjustRightInd w:val="0"/>
        <w:snapToGrid w:val="0"/>
        <w:spacing w:line="360" w:lineRule="auto"/>
        <w:jc w:val="left"/>
        <w:rPr>
          <w:bCs/>
          <w:szCs w:val="21"/>
        </w:rPr>
      </w:pPr>
      <w:r>
        <w:rPr>
          <w:rFonts w:hint="eastAsia"/>
          <w:bCs/>
          <w:szCs w:val="21"/>
        </w:rPr>
        <w:t>招标文件每套购置费0元；</w:t>
      </w:r>
    </w:p>
    <w:p>
      <w:pPr>
        <w:adjustRightInd w:val="0"/>
        <w:snapToGrid w:val="0"/>
        <w:spacing w:line="360" w:lineRule="auto"/>
        <w:jc w:val="left"/>
        <w:rPr>
          <w:bCs/>
          <w:szCs w:val="21"/>
        </w:rPr>
      </w:pPr>
      <w:r>
        <w:rPr>
          <w:rFonts w:hint="eastAsia"/>
          <w:bCs/>
          <w:szCs w:val="21"/>
        </w:rPr>
        <w:t>2、相关费用的缴纳，请使用投标公司的基本账号转账。</w:t>
      </w:r>
    </w:p>
    <w:p>
      <w:pPr>
        <w:adjustRightInd w:val="0"/>
        <w:snapToGrid w:val="0"/>
        <w:spacing w:line="360" w:lineRule="auto"/>
        <w:ind w:firstLine="3150" w:firstLineChars="1500"/>
        <w:jc w:val="right"/>
        <w:rPr>
          <w:bCs/>
          <w:szCs w:val="21"/>
        </w:rPr>
      </w:pPr>
    </w:p>
    <w:p>
      <w:pPr>
        <w:adjustRightInd w:val="0"/>
        <w:snapToGrid w:val="0"/>
        <w:spacing w:line="360" w:lineRule="auto"/>
        <w:ind w:firstLine="3150" w:firstLineChars="1500"/>
        <w:jc w:val="right"/>
        <w:rPr>
          <w:bCs/>
          <w:szCs w:val="21"/>
          <w:highlight w:val="none"/>
        </w:rPr>
      </w:pPr>
    </w:p>
    <w:p>
      <w:pPr>
        <w:adjustRightInd w:val="0"/>
        <w:snapToGrid w:val="0"/>
        <w:spacing w:line="360" w:lineRule="auto"/>
        <w:ind w:firstLine="3150" w:firstLineChars="1500"/>
        <w:jc w:val="right"/>
        <w:rPr>
          <w:bCs/>
          <w:szCs w:val="21"/>
          <w:highlight w:val="none"/>
        </w:rPr>
      </w:pPr>
      <w:r>
        <w:rPr>
          <w:rFonts w:hint="eastAsia"/>
          <w:bCs/>
          <w:szCs w:val="21"/>
          <w:highlight w:val="none"/>
        </w:rPr>
        <w:t>北京京城环保股份有限公司</w:t>
      </w:r>
    </w:p>
    <w:p>
      <w:pPr>
        <w:wordWrap w:val="0"/>
        <w:jc w:val="right"/>
        <w:rPr>
          <w:highlight w:val="none"/>
        </w:rPr>
      </w:pPr>
      <w:bookmarkStart w:id="12" w:name="_Toc468782281"/>
      <w:bookmarkStart w:id="13" w:name="_Toc471478430"/>
      <w:bookmarkStart w:id="14" w:name="_Toc471479165"/>
      <w:r>
        <w:rPr>
          <w:rFonts w:hint="eastAsia"/>
          <w:b/>
          <w:bCs/>
          <w:szCs w:val="21"/>
          <w:highlight w:val="none"/>
        </w:rPr>
        <w:t>2021年11月</w:t>
      </w:r>
      <w:r>
        <w:rPr>
          <w:rFonts w:hint="eastAsia"/>
          <w:b/>
          <w:bCs/>
          <w:szCs w:val="21"/>
          <w:highlight w:val="none"/>
          <w:lang w:val="en-US" w:eastAsia="zh-CN"/>
        </w:rPr>
        <w:t>15</w:t>
      </w:r>
      <w:r>
        <w:rPr>
          <w:rFonts w:hint="eastAsia"/>
          <w:b/>
          <w:bCs/>
          <w:szCs w:val="21"/>
          <w:highlight w:val="none"/>
        </w:rPr>
        <w:t>日</w:t>
      </w:r>
      <w:bookmarkEnd w:id="12"/>
      <w:bookmarkEnd w:id="13"/>
      <w:bookmarkEnd w:id="14"/>
    </w:p>
    <w:p>
      <w:pPr>
        <w:pStyle w:val="3"/>
        <w:ind w:left="1110"/>
        <w:jc w:val="both"/>
        <w:rPr>
          <w:rFonts w:hint="eastAsia"/>
          <w:b w:val="0"/>
          <w:sz w:val="21"/>
          <w:szCs w:val="21"/>
          <w:highlight w:val="none"/>
          <w:lang w:val="en-US"/>
        </w:rPr>
      </w:pPr>
    </w:p>
    <w:p>
      <w:pPr>
        <w:pStyle w:val="4"/>
        <w:jc w:val="center"/>
        <w:rPr>
          <w:rFonts w:hint="eastAsia"/>
        </w:rPr>
      </w:pPr>
      <w:r>
        <w:rPr>
          <w:szCs w:val="21"/>
          <w:highlight w:val="none"/>
        </w:rPr>
        <w:br w:type="page"/>
      </w:r>
      <w:bookmarkStart w:id="15" w:name="_Toc448839083"/>
      <w:bookmarkStart w:id="16" w:name="_Toc449618573"/>
      <w:bookmarkStart w:id="17" w:name="_Toc449619597"/>
      <w:bookmarkStart w:id="18" w:name="_Toc449687366"/>
      <w:bookmarkStart w:id="19" w:name="_Toc449700509"/>
      <w:bookmarkStart w:id="20" w:name="_Toc452641987"/>
      <w:r>
        <w:rPr>
          <w:rFonts w:hint="eastAsia"/>
        </w:rPr>
        <w:t>第二章 投标申请函</w:t>
      </w:r>
      <w:bookmarkEnd w:id="3"/>
      <w:bookmarkEnd w:id="4"/>
      <w:bookmarkEnd w:id="15"/>
      <w:bookmarkEnd w:id="16"/>
      <w:bookmarkEnd w:id="17"/>
      <w:bookmarkEnd w:id="18"/>
      <w:bookmarkEnd w:id="19"/>
      <w:bookmarkEnd w:id="20"/>
    </w:p>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jc w:val="left"/>
        <w:rPr>
          <w:rFonts w:ascii="宋体" w:hAnsi="宋体"/>
          <w:bCs/>
          <w:szCs w:val="21"/>
        </w:rPr>
      </w:pPr>
      <w:r>
        <w:rPr>
          <w:rFonts w:ascii="宋体" w:hAnsi="宋体"/>
          <w:bCs/>
          <w:szCs w:val="21"/>
        </w:rPr>
        <w:t>1、</w:t>
      </w:r>
      <w:r>
        <w:rPr>
          <w:rFonts w:hint="eastAsia" w:ascii="宋体" w:hAnsi="宋体"/>
          <w:bCs/>
          <w:szCs w:val="21"/>
        </w:rPr>
        <w:t>按照</w:t>
      </w:r>
      <w:r>
        <w:rPr>
          <w:rFonts w:ascii="宋体" w:hAnsi="宋体"/>
          <w:bCs/>
          <w:szCs w:val="21"/>
        </w:rPr>
        <w:t>本</w:t>
      </w:r>
      <w:r>
        <w:rPr>
          <w:rFonts w:hint="eastAsia" w:ascii="宋体" w:hAnsi="宋体"/>
          <w:bCs/>
          <w:szCs w:val="21"/>
        </w:rPr>
        <w:t>招标公告</w:t>
      </w:r>
      <w:r>
        <w:rPr>
          <w:rFonts w:ascii="宋体" w:hAnsi="宋体"/>
          <w:bCs/>
          <w:szCs w:val="21"/>
        </w:rPr>
        <w:t>的要求，</w:t>
      </w:r>
      <w:r>
        <w:rPr>
          <w:rFonts w:hint="eastAsia" w:ascii="宋体" w:hAnsi="宋体"/>
          <w:bCs/>
          <w:szCs w:val="21"/>
        </w:rPr>
        <w:t>我方递交的申请文件及有关资料，用于招标人审查我方参加</w:t>
      </w:r>
      <w:r>
        <w:rPr>
          <w:rFonts w:hint="eastAsia" w:ascii="宋体" w:hAnsi="宋体"/>
          <w:bCs/>
          <w:szCs w:val="21"/>
          <w:highlight w:val="yellow"/>
          <w:u w:val="single"/>
        </w:rPr>
        <w:t>浙江污泥处理项目干污泥缓存仓</w:t>
      </w:r>
      <w:r>
        <w:rPr>
          <w:rFonts w:hint="eastAsia" w:ascii="宋体" w:hAnsi="宋体"/>
          <w:bCs/>
          <w:szCs w:val="21"/>
        </w:rPr>
        <w:t>招标采购的投标资格。</w:t>
      </w:r>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11"/>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11"/>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11"/>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（取得招标文件）</w:t>
      </w:r>
      <w:r>
        <w:rPr>
          <w:rFonts w:ascii="宋体" w:hAnsi="宋体"/>
          <w:bCs/>
          <w:sz w:val="21"/>
          <w:szCs w:val="21"/>
        </w:rPr>
        <w:t>后，我方愿意按招标文件的要求详细填写和编制投标文件</w:t>
      </w:r>
      <w:r>
        <w:rPr>
          <w:rFonts w:hint="eastAsia" w:ascii="宋体" w:hAnsi="宋体"/>
          <w:bCs/>
          <w:sz w:val="21"/>
          <w:szCs w:val="21"/>
        </w:rPr>
        <w:t>，</w:t>
      </w:r>
      <w:r>
        <w:rPr>
          <w:rFonts w:ascii="宋体" w:hAnsi="宋体"/>
          <w:bCs/>
          <w:sz w:val="21"/>
          <w:szCs w:val="21"/>
        </w:rPr>
        <w:t>我</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pStyle w:val="3"/>
      </w:pPr>
      <w:r>
        <w:rPr>
          <w:rFonts w:hint="eastAsia" w:ascii="Times New Roman" w:hAnsi="Times New Roman" w:eastAsia="宋体" w:cs="Times New Roman"/>
          <w:b w:val="0"/>
          <w:kern w:val="2"/>
          <w:sz w:val="21"/>
          <w:szCs w:val="24"/>
          <w:lang w:val="en-US" w:eastAsia="zh-CN" w:bidi="ar-SA"/>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3"/>
        <w:adjustRightInd w:val="0"/>
        <w:snapToGrid w:val="0"/>
        <w:rPr>
          <w:rFonts w:ascii="黑体" w:eastAsia="黑体"/>
          <w:b w:val="0"/>
        </w:rPr>
      </w:pPr>
      <w:bookmarkStart w:id="21" w:name="_Toc146512971"/>
      <w:r>
        <w:rPr>
          <w:rFonts w:hint="eastAsia" w:ascii="黑体" w:eastAsia="黑体"/>
          <w:b w:val="0"/>
        </w:rPr>
        <w:t>资格审查申请表</w:t>
      </w:r>
      <w:bookmarkEnd w:id="21"/>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3"/>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3360" w:firstLineChars="1600"/>
        <w:jc w:val="left"/>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13"/>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20</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9</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8</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宋体">
    <w:panose1 w:val="02010600030101010101"/>
    <w:charset w:val="86"/>
    <w:family w:val="auto"/>
    <w:pitch w:val="default"/>
    <w:sig w:usb0="00000003" w:usb1="080E0000" w:usb2="00000000" w:usb3="00000000" w:csb0="00040001"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4210"/>
    <w:multiLevelType w:val="multilevel"/>
    <w:tmpl w:val="12B84210"/>
    <w:lvl w:ilvl="0" w:tentative="0">
      <w:start w:val="1"/>
      <w:numFmt w:val="decimal"/>
      <w:suff w:val="nothing"/>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DD62F1"/>
    <w:multiLevelType w:val="multilevel"/>
    <w:tmpl w:val="33DD62F1"/>
    <w:lvl w:ilvl="0" w:tentative="0">
      <w:start w:val="14"/>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E64D04"/>
    <w:multiLevelType w:val="multilevel"/>
    <w:tmpl w:val="7CE64D04"/>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0D38A2"/>
    <w:multiLevelType w:val="multilevel"/>
    <w:tmpl w:val="7D0D38A2"/>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340F"/>
    <w:rsid w:val="00055263"/>
    <w:rsid w:val="000C1A96"/>
    <w:rsid w:val="000D029D"/>
    <w:rsid w:val="00147D79"/>
    <w:rsid w:val="001E35FC"/>
    <w:rsid w:val="00246F62"/>
    <w:rsid w:val="0025446E"/>
    <w:rsid w:val="00276A50"/>
    <w:rsid w:val="002F3658"/>
    <w:rsid w:val="002F7B05"/>
    <w:rsid w:val="00386877"/>
    <w:rsid w:val="003A1DEF"/>
    <w:rsid w:val="003C57C9"/>
    <w:rsid w:val="003D4CE0"/>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802072"/>
    <w:rsid w:val="008025BF"/>
    <w:rsid w:val="008240E8"/>
    <w:rsid w:val="0085603A"/>
    <w:rsid w:val="0089517A"/>
    <w:rsid w:val="008A7DCA"/>
    <w:rsid w:val="008B1F4C"/>
    <w:rsid w:val="00967F5C"/>
    <w:rsid w:val="00981AF1"/>
    <w:rsid w:val="009B61C2"/>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F67890"/>
    <w:rsid w:val="00FC211E"/>
    <w:rsid w:val="00FD2EEE"/>
    <w:rsid w:val="00FE2CFB"/>
    <w:rsid w:val="036A6FDA"/>
    <w:rsid w:val="09926B56"/>
    <w:rsid w:val="13B94A7A"/>
    <w:rsid w:val="180C0058"/>
    <w:rsid w:val="19864ABB"/>
    <w:rsid w:val="19BA02E1"/>
    <w:rsid w:val="19EC12DE"/>
    <w:rsid w:val="1EE319AE"/>
    <w:rsid w:val="2146407C"/>
    <w:rsid w:val="27206A9F"/>
    <w:rsid w:val="277C2FF7"/>
    <w:rsid w:val="2B824700"/>
    <w:rsid w:val="2E831A25"/>
    <w:rsid w:val="31FD4531"/>
    <w:rsid w:val="3C443E30"/>
    <w:rsid w:val="46811E32"/>
    <w:rsid w:val="46FB7303"/>
    <w:rsid w:val="48AF6B94"/>
    <w:rsid w:val="49BA773C"/>
    <w:rsid w:val="4B55119A"/>
    <w:rsid w:val="4B796657"/>
    <w:rsid w:val="4BF60A57"/>
    <w:rsid w:val="4C1712AE"/>
    <w:rsid w:val="4C945ACA"/>
    <w:rsid w:val="61B823F1"/>
    <w:rsid w:val="66C01B47"/>
    <w:rsid w:val="6AF3240E"/>
    <w:rsid w:val="74032299"/>
    <w:rsid w:val="763E3DF0"/>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jc w:val="center"/>
      <w:outlineLvl w:val="0"/>
    </w:pPr>
    <w:rPr>
      <w:rFonts w:ascii="宋体"/>
      <w:b/>
      <w:sz w:val="30"/>
      <w:lang w:val="zh-CN"/>
    </w:rPr>
  </w:style>
  <w:style w:type="paragraph" w:styleId="4">
    <w:name w:val="heading 2"/>
    <w:basedOn w:val="5"/>
    <w:next w:val="1"/>
    <w:link w:val="19"/>
    <w:qFormat/>
    <w:uiPriority w:val="0"/>
    <w:pPr>
      <w:tabs>
        <w:tab w:val="right" w:leader="dot" w:pos="8296"/>
      </w:tabs>
      <w:adjustRightInd w:val="0"/>
      <w:jc w:val="left"/>
      <w:textAlignment w:val="baseline"/>
      <w:outlineLvl w:val="1"/>
    </w:pPr>
    <w:rPr>
      <w:b/>
      <w:sz w:val="24"/>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60" w:lineRule="exact"/>
    </w:pPr>
    <w:rPr>
      <w:sz w:val="24"/>
    </w:rPr>
  </w:style>
  <w:style w:type="paragraph" w:styleId="5">
    <w:name w:val="toc 1"/>
    <w:basedOn w:val="1"/>
    <w:next w:val="1"/>
    <w:semiHidden/>
    <w:unhideWhenUsed/>
    <w:qFormat/>
    <w:uiPriority w:val="39"/>
  </w:style>
  <w:style w:type="paragraph" w:styleId="6">
    <w:name w:val="annotation text"/>
    <w:basedOn w:val="1"/>
    <w:link w:val="25"/>
    <w:semiHidden/>
    <w:unhideWhenUsed/>
    <w:qFormat/>
    <w:uiPriority w:val="99"/>
    <w:pPr>
      <w:jc w:val="left"/>
    </w:p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0"/>
    <w:qFormat/>
    <w:uiPriority w:val="0"/>
    <w:pPr>
      <w:spacing w:line="300" w:lineRule="auto"/>
      <w:ind w:firstLine="480" w:firstLineChars="200"/>
      <w:jc w:val="left"/>
    </w:pPr>
    <w:rPr>
      <w:sz w:val="24"/>
    </w:rPr>
  </w:style>
  <w:style w:type="paragraph" w:styleId="12">
    <w:name w:val="annotation subject"/>
    <w:basedOn w:val="6"/>
    <w:next w:val="6"/>
    <w:link w:val="26"/>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标题 1 Char"/>
    <w:basedOn w:val="15"/>
    <w:link w:val="3"/>
    <w:qFormat/>
    <w:uiPriority w:val="0"/>
    <w:rPr>
      <w:rFonts w:ascii="宋体" w:hAnsi="Times New Roman" w:eastAsia="宋体" w:cs="Times New Roman"/>
      <w:b/>
      <w:sz w:val="30"/>
      <w:szCs w:val="24"/>
      <w:lang w:val="zh-CN"/>
    </w:rPr>
  </w:style>
  <w:style w:type="character" w:customStyle="1" w:styleId="19">
    <w:name w:val="标题 2 Char"/>
    <w:basedOn w:val="15"/>
    <w:link w:val="4"/>
    <w:qFormat/>
    <w:uiPriority w:val="0"/>
    <w:rPr>
      <w:rFonts w:ascii="Times New Roman" w:hAnsi="Times New Roman" w:eastAsia="宋体" w:cs="Times New Roman"/>
      <w:b/>
      <w:sz w:val="24"/>
      <w:szCs w:val="20"/>
      <w:lang w:val="en-US" w:eastAsia="zh-CN"/>
    </w:rPr>
  </w:style>
  <w:style w:type="character" w:customStyle="1" w:styleId="20">
    <w:name w:val="正文文本缩进 3 Char"/>
    <w:basedOn w:val="15"/>
    <w:link w:val="11"/>
    <w:qFormat/>
    <w:uiPriority w:val="0"/>
    <w:rPr>
      <w:rFonts w:ascii="Times New Roman" w:hAnsi="Times New Roman" w:eastAsia="宋体" w:cs="Times New Roman"/>
      <w:sz w:val="24"/>
      <w:szCs w:val="24"/>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批注框文本 Char"/>
    <w:basedOn w:val="15"/>
    <w:link w:val="8"/>
    <w:semiHidden/>
    <w:qFormat/>
    <w:uiPriority w:val="99"/>
    <w:rPr>
      <w:rFonts w:ascii="Times New Roman" w:hAnsi="Times New Roman" w:eastAsia="宋体" w:cs="Times New Roman"/>
      <w:sz w:val="18"/>
      <w:szCs w:val="18"/>
    </w:rPr>
  </w:style>
  <w:style w:type="character" w:customStyle="1" w:styleId="23">
    <w:name w:val="页眉 Char"/>
    <w:basedOn w:val="15"/>
    <w:link w:val="10"/>
    <w:qFormat/>
    <w:uiPriority w:val="99"/>
    <w:rPr>
      <w:rFonts w:ascii="Times New Roman" w:hAnsi="Times New Roman" w:eastAsia="宋体" w:cs="Times New Roman"/>
      <w:sz w:val="18"/>
      <w:szCs w:val="18"/>
    </w:rPr>
  </w:style>
  <w:style w:type="character" w:customStyle="1" w:styleId="24">
    <w:name w:val="页脚 Char"/>
    <w:basedOn w:val="15"/>
    <w:link w:val="9"/>
    <w:qFormat/>
    <w:uiPriority w:val="99"/>
    <w:rPr>
      <w:rFonts w:ascii="Times New Roman" w:hAnsi="Times New Roman" w:eastAsia="宋体" w:cs="Times New Roman"/>
      <w:sz w:val="18"/>
      <w:szCs w:val="18"/>
    </w:rPr>
  </w:style>
  <w:style w:type="character" w:customStyle="1" w:styleId="25">
    <w:name w:val="批注文字 Char"/>
    <w:basedOn w:val="15"/>
    <w:link w:val="6"/>
    <w:semiHidden/>
    <w:qFormat/>
    <w:uiPriority w:val="99"/>
    <w:rPr>
      <w:rFonts w:ascii="Times New Roman" w:hAnsi="Times New Roman" w:eastAsia="宋体" w:cs="Times New Roman"/>
      <w:kern w:val="2"/>
      <w:sz w:val="21"/>
      <w:szCs w:val="24"/>
    </w:rPr>
  </w:style>
  <w:style w:type="character" w:customStyle="1" w:styleId="26">
    <w:name w:val="批注主题 Char"/>
    <w:basedOn w:val="25"/>
    <w:link w:val="12"/>
    <w:semiHidden/>
    <w:qFormat/>
    <w:uiPriority w:val="99"/>
    <w:rPr>
      <w:rFonts w:ascii="Times New Roman" w:hAnsi="Times New Roman" w:eastAsia="宋体" w:cs="Times New Roman"/>
      <w:b/>
      <w:bCs/>
      <w:kern w:val="2"/>
      <w:sz w:val="21"/>
      <w:szCs w:val="24"/>
    </w:rPr>
  </w:style>
  <w:style w:type="character" w:customStyle="1" w:styleId="27">
    <w:name w:val="日期 Char"/>
    <w:basedOn w:val="15"/>
    <w:link w:val="7"/>
    <w:semiHidden/>
    <w:qFormat/>
    <w:uiPriority w:val="99"/>
    <w:rPr>
      <w:kern w:val="2"/>
      <w:sz w:val="21"/>
      <w:szCs w:val="24"/>
    </w:rPr>
  </w:style>
  <w:style w:type="paragraph" w:styleId="28">
    <w:name w:val="List Paragraph"/>
    <w:basedOn w:val="1"/>
    <w:qFormat/>
    <w:uiPriority w:val="34"/>
    <w:pPr>
      <w:ind w:firstLine="420" w:firstLineChars="200"/>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407</Words>
  <Characters>2321</Characters>
  <Lines>19</Lines>
  <Paragraphs>5</Paragraphs>
  <TotalTime>0</TotalTime>
  <ScaleCrop>false</ScaleCrop>
  <LinksUpToDate>false</LinksUpToDate>
  <CharactersWithSpaces>2723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郭亮</cp:lastModifiedBy>
  <dcterms:modified xsi:type="dcterms:W3CDTF">2021-11-15T03:03:59Z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