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color w:val="auto"/>
          <w:highlight w:val="none"/>
        </w:rPr>
      </w:pPr>
      <w:bookmarkStart w:id="0" w:name="_Toc527364905"/>
      <w:r>
        <w:rPr>
          <w:rFonts w:hint="eastAsia"/>
          <w:color w:val="auto"/>
          <w:highlight w:val="none"/>
        </w:rPr>
        <w:t>第二章 投标申请函</w:t>
      </w:r>
      <w:bookmarkEnd w:id="0"/>
    </w:p>
    <w:p>
      <w:pPr>
        <w:rPr>
          <w:color w:val="auto"/>
          <w:highlight w:val="none"/>
        </w:rPr>
      </w:pP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按照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本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招标公告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的要求，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>北京安定项目医废周转箱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2、我方同意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投标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3、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我方声明，所递交的文件及有关资料内容完整、真实和</w:t>
      </w:r>
      <w:bookmarkStart w:id="2" w:name="_GoBack"/>
      <w:bookmarkEnd w:id="2"/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准确，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调查后，如发现我方所报内容与实际不符，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一切责任由我方自负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4、我方理解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5、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在确定我方为正式投标人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（购买招标文件）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后，我方愿意按招标文件的要求详细填写和编制投标文件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，并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“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前附表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”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申请人</w:t>
      </w:r>
      <w:r>
        <w:rPr>
          <w:color w:val="auto"/>
          <w:highlight w:val="none"/>
        </w:rPr>
        <w:t>（盖章）：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</w:pPr>
      <w:r>
        <w:rPr>
          <w:color w:val="auto"/>
          <w:highlight w:val="none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" w:name="_Toc146512971"/>
      <w:r>
        <w:rPr>
          <w:rFonts w:hint="eastAsia" w:ascii="黑体" w:eastAsia="黑体"/>
          <w:b w:val="0"/>
        </w:rPr>
        <w:t>资格审查申请表</w:t>
      </w:r>
      <w:bookmarkEnd w:id="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E7C30"/>
    <w:rsid w:val="154E7C30"/>
    <w:rsid w:val="73D6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2023-02-08T09:16:00Z</dcterms:created>
  <dc:creator>郭亮</dc:creator>
  <cp:lastModifiedBy>郭亮</cp:lastModifiedBy>
  <dcterms:modified xsi:type="dcterms:W3CDTF">2023-02-15T00:42:51Z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