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施耐德PLC模块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bookmarkStart w:id="0" w:name="_Toc527364898"/>
      <w:bookmarkStart w:id="1" w:name="_Toc448839082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5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ZB202304-HBZB11</w:t>
      </w:r>
    </w:p>
    <w:p>
      <w:pPr>
        <w:pStyle w:val="5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  <w:bookmarkStart w:id="20" w:name="_GoBack"/>
      <w:bookmarkEnd w:id="20"/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5" w:name="_Toc527364902"/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施耐德PLC模块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部分产品带涂层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eastAsia="宋体"/>
          <w:szCs w:val="24"/>
          <w:lang w:eastAsia="zh-CN"/>
        </w:rPr>
        <w:t>施耐德PLC模块</w:t>
      </w:r>
      <w:r>
        <w:rPr>
          <w:rFonts w:eastAsia="宋体"/>
          <w:szCs w:val="24"/>
        </w:rPr>
        <w:t>的供货</w:t>
      </w:r>
      <w:r>
        <w:rPr>
          <w:rFonts w:hint="eastAsia" w:eastAsia="宋体"/>
          <w:szCs w:val="24"/>
          <w:lang w:eastAsia="zh-CN"/>
        </w:rPr>
        <w:t>，</w:t>
      </w:r>
      <w:r>
        <w:rPr>
          <w:rFonts w:hint="eastAsia" w:eastAsia="宋体"/>
          <w:szCs w:val="24"/>
          <w:lang w:val="en-US" w:eastAsia="zh-CN"/>
        </w:rPr>
        <w:t>发至我司盘柜厂家，并提供相关售后服务</w:t>
      </w:r>
      <w:r>
        <w:rPr>
          <w:rFonts w:hint="eastAsia" w:eastAsia="宋体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详见附件清单。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施耐德PLC模块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2个月内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下午13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30分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16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18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</w:rPr>
        <w:t>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 w:val="21"/>
          <w:szCs w:val="21"/>
        </w:rPr>
      </w:pPr>
      <w:r>
        <w:rPr>
          <w:bCs/>
          <w:szCs w:val="21"/>
        </w:rPr>
        <w:t>（2）</w:t>
      </w:r>
      <w:r>
        <w:rPr>
          <w:bCs/>
          <w:sz w:val="21"/>
          <w:szCs w:val="21"/>
        </w:rPr>
        <w:t>具有履行合同所必需的设备和专业技术能力；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投标厂家若为代理商，所代理的品牌制造商需满足第二条所述条件，并同步提供原厂授权证明文件；</w:t>
      </w:r>
    </w:p>
    <w:p>
      <w:pPr>
        <w:adjustRightInd w:val="0"/>
        <w:snapToGrid w:val="0"/>
        <w:spacing w:line="360" w:lineRule="auto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2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5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津沽三期污泥干化焚烧项目施耐德PLC模块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8C429F5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9F4090A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1CB4705"/>
    <w:rsid w:val="62742FD1"/>
    <w:rsid w:val="66C01B47"/>
    <w:rsid w:val="6AB86B2C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1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7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1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2023-05-04T00:55:45Z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