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津沽三期污泥干化焚烧项目微波浓度计</w:t>
      </w:r>
    </w:p>
    <w:p>
      <w:pPr>
        <w:pStyle w:val="3"/>
        <w:numPr>
          <w:ilvl w:val="0"/>
          <w:numId w:val="1"/>
        </w:numPr>
        <w:rPr>
          <w:rFonts w:hint="eastAsia"/>
        </w:rPr>
      </w:pPr>
      <w:bookmarkStart w:id="0" w:name="_Toc527364898"/>
      <w:bookmarkStart w:id="1" w:name="_Toc448839082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1"/>
          <w:lang w:eastAsia="zh-CN"/>
        </w:rPr>
        <w:t>ZB202306-HBZB01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5" w:name="_Toc527364902"/>
      <w:bookmarkStart w:id="6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微波浓度计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eastAsia="宋体"/>
          <w:lang w:eastAsia="zh-CN"/>
        </w:rPr>
        <w:t>微波浓度计</w:t>
      </w:r>
      <w:r>
        <w:rPr>
          <w:rFonts w:hint="eastAsia"/>
        </w:rPr>
        <w:t>的的选型、供货、运输、安装指导、售后服务。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  <w:r>
        <w:rPr>
          <w:rFonts w:hint="eastAsia" w:eastAsia="宋体"/>
          <w:lang w:eastAsia="zh-CN"/>
        </w:rPr>
        <w:t>管道式微波浓度计</w:t>
      </w:r>
      <w:r>
        <w:t>4</w:t>
      </w:r>
      <w:r>
        <w:rPr>
          <w:rFonts w:hint="eastAsia"/>
        </w:rPr>
        <w:t>台，</w:t>
      </w:r>
      <w:r>
        <w:rPr>
          <w:rFonts w:hint="eastAsia"/>
          <w:lang w:eastAsia="zh-CN"/>
        </w:rPr>
        <w:t>抽取式</w:t>
      </w:r>
      <w:r>
        <w:rPr>
          <w:rFonts w:hint="eastAsia" w:eastAsia="宋体"/>
          <w:lang w:eastAsia="zh-CN"/>
        </w:rPr>
        <w:t>微波浓度计</w:t>
      </w:r>
      <w:r>
        <w:t>4</w:t>
      </w:r>
      <w:r>
        <w:rPr>
          <w:rFonts w:hint="eastAsia"/>
        </w:rPr>
        <w:t>台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投标方的工作范围包括：</w:t>
      </w:r>
      <w:r>
        <w:rPr>
          <w:rFonts w:hint="eastAsia" w:eastAsia="宋体"/>
          <w:lang w:eastAsia="zh-CN"/>
        </w:rPr>
        <w:t>微波浓度计</w:t>
      </w:r>
      <w:r>
        <w:rPr>
          <w:rFonts w:hint="eastAsia"/>
        </w:rPr>
        <w:t>的的选型、供货、运输、安装指导、售后服务。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3个月内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val="en-US"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上午9</w:t>
      </w:r>
      <w:r>
        <w:rPr>
          <w:rFonts w:hint="eastAsia"/>
          <w:szCs w:val="21"/>
        </w:rPr>
        <w:t>时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（1）具备履行民事责任能力的独立法人，要求注册资本金不低于</w:t>
      </w:r>
      <w:r>
        <w:rPr>
          <w:rFonts w:hint="eastAsia"/>
          <w:bCs/>
          <w:sz w:val="21"/>
          <w:szCs w:val="21"/>
          <w:lang w:val="en-US" w:eastAsia="zh-CN"/>
        </w:rPr>
        <w:t>10</w:t>
      </w:r>
      <w:r>
        <w:rPr>
          <w:rFonts w:hint="eastAsia"/>
          <w:bCs/>
          <w:sz w:val="21"/>
          <w:szCs w:val="21"/>
        </w:rPr>
        <w:t>0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（2）投标厂家若为代理商，</w:t>
      </w:r>
      <w:r>
        <w:rPr>
          <w:rFonts w:hint="eastAsia"/>
          <w:bCs/>
          <w:sz w:val="21"/>
          <w:szCs w:val="21"/>
          <w:lang w:eastAsia="zh-CN"/>
        </w:rPr>
        <w:t>需</w:t>
      </w:r>
      <w:r>
        <w:rPr>
          <w:rFonts w:hint="eastAsia"/>
          <w:bCs/>
          <w:sz w:val="21"/>
          <w:szCs w:val="21"/>
        </w:rPr>
        <w:t>同步提供原厂授权证明文件；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（3）投标人应具备同类、类似项目的供货服务经验；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（5）投标人愿意服从招标人对于招标项目内容的介入管理要求；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（6）具有良好的银行资信和商业信誉，近三年财务状况良好，无亏损；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（7）参加招投标活动2年内没有相关违法或者违法嫌疑记录。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71478430"/>
      <w:bookmarkStart w:id="10" w:name="_Toc471479165"/>
      <w:bookmarkStart w:id="11" w:name="_Toc468782281"/>
      <w:bookmarkStart w:id="12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618573"/>
      <w:bookmarkStart w:id="14" w:name="_Toc449700509"/>
      <w:bookmarkStart w:id="15" w:name="_Toc448839083"/>
      <w:bookmarkStart w:id="16" w:name="_Toc449687366"/>
      <w:bookmarkStart w:id="17" w:name="_Toc449619597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津沽三期污泥干化焚烧项目微波浓度计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0" w:name="_GoBack"/>
      <w:bookmarkEnd w:id="20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350FA3"/>
    <w:rsid w:val="61B823F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1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6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2456</Words>
  <Characters>2674</Characters>
  <Lines>20</Lines>
  <Paragraphs>5</Paragraphs>
  <TotalTime>0</TotalTime>
  <ScaleCrop>false</ScaleCrop>
  <LinksUpToDate>false</LinksUpToDate>
  <CharactersWithSpaces>2816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2023-06-08T02:02:43Z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64E57896F00348359F5A970A6138EC3C_12</vt:lpwstr>
  </property>
</Properties>
</file>