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/>
          <w:szCs w:val="21"/>
          <w:lang w:val="zh-CN"/>
        </w:rPr>
        <w:t>津沽三期污泥干化焚烧项目气体分析仪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1"/>
          <w:lang w:eastAsia="zh-CN"/>
        </w:rPr>
        <w:t>ZB202306-HBZB04</w:t>
      </w:r>
    </w:p>
    <w:p>
      <w:pPr>
        <w:pStyle w:val="4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6" w:name="_Toc527364902"/>
      <w:bookmarkStart w:id="7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气体分析仪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eastAsia="宋体"/>
          <w:lang w:eastAsia="zh-CN"/>
        </w:rPr>
        <w:t>气体分析仪</w:t>
      </w:r>
      <w:r>
        <w:rPr>
          <w:rFonts w:hint="eastAsia"/>
        </w:rPr>
        <w:t>的的选型、供货、运输、安装指导、售后服务。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  <w:r>
        <w:rPr>
          <w:rFonts w:hint="eastAsia" w:eastAsia="宋体"/>
          <w:lang w:eastAsia="zh-CN"/>
        </w:rPr>
        <w:t>CH4气体分析仪</w:t>
      </w:r>
      <w:r>
        <w:rPr>
          <w:rFonts w:hint="eastAsia" w:eastAsia="宋体"/>
          <w:lang w:val="en-US" w:eastAsia="zh-CN"/>
        </w:rPr>
        <w:t>23</w:t>
      </w:r>
      <w:r>
        <w:rPr>
          <w:rFonts w:hint="eastAsia"/>
        </w:rPr>
        <w:t>台，</w:t>
      </w:r>
      <w:r>
        <w:rPr>
          <w:rFonts w:hint="eastAsia"/>
          <w:lang w:eastAsia="zh-CN"/>
        </w:rPr>
        <w:t>H2S</w:t>
      </w:r>
      <w:r>
        <w:rPr>
          <w:rFonts w:hint="eastAsia" w:eastAsia="宋体"/>
          <w:lang w:eastAsia="zh-CN"/>
        </w:rPr>
        <w:t>气体分析仪</w:t>
      </w:r>
      <w:r>
        <w:rPr>
          <w:rFonts w:hint="eastAsia" w:eastAsia="宋体"/>
          <w:lang w:val="en-US" w:eastAsia="zh-CN"/>
        </w:rPr>
        <w:t>19</w:t>
      </w:r>
      <w:r>
        <w:rPr>
          <w:rFonts w:hint="eastAsia"/>
        </w:rPr>
        <w:t>台</w:t>
      </w:r>
      <w:r>
        <w:rPr>
          <w:rFonts w:hint="eastAsia"/>
          <w:lang w:eastAsia="zh-CN"/>
        </w:rPr>
        <w:t>、CO</w:t>
      </w:r>
      <w:r>
        <w:rPr>
          <w:rFonts w:hint="eastAsia" w:eastAsia="宋体"/>
          <w:lang w:eastAsia="zh-CN"/>
        </w:rPr>
        <w:t>气体分析仪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</w:rPr>
        <w:t>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控制器等9台套。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投标方的工作范围包括：</w:t>
      </w:r>
      <w:r>
        <w:rPr>
          <w:rFonts w:hint="eastAsia" w:eastAsia="宋体"/>
          <w:lang w:eastAsia="zh-CN"/>
        </w:rPr>
        <w:t>气体分析仪</w:t>
      </w:r>
      <w:r>
        <w:rPr>
          <w:rFonts w:hint="eastAsia"/>
        </w:rPr>
        <w:t>的的选型、供货、运输、安装指导、售后服务。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7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3个月内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上</w:t>
      </w:r>
      <w:r>
        <w:rPr>
          <w:rFonts w:hint="eastAsia"/>
          <w:szCs w:val="21"/>
          <w:lang w:eastAsia="zh-CN"/>
        </w:rPr>
        <w:t>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时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（1）具备履行民事责任能力的独立法人，要求注册资本金不低于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</w:rPr>
        <w:t>0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（2）投标厂家若为代理商，</w:t>
      </w:r>
      <w:r>
        <w:rPr>
          <w:rFonts w:hint="eastAsia"/>
          <w:bCs/>
          <w:sz w:val="21"/>
          <w:szCs w:val="21"/>
          <w:lang w:eastAsia="zh-CN"/>
        </w:rPr>
        <w:t>需</w:t>
      </w:r>
      <w:r>
        <w:rPr>
          <w:rFonts w:hint="eastAsia"/>
          <w:bCs/>
          <w:sz w:val="21"/>
          <w:szCs w:val="21"/>
        </w:rPr>
        <w:t>同步提供原厂授权证明文件；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（3）投标人应具备同类、类似项目的供货服务经验；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（5）投标人愿意服从招标人对于招标项目内容的介入管理要求；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（7）参加招投标活动2年内没有相关违法或者违法嫌疑记录。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9619597"/>
      <w:bookmarkStart w:id="15" w:name="_Toc448839083"/>
      <w:bookmarkStart w:id="16" w:name="_Toc449687366"/>
      <w:bookmarkStart w:id="17" w:name="_Toc449700509"/>
      <w:bookmarkStart w:id="18" w:name="_Toc449618573"/>
    </w:p>
    <w:p>
      <w:pPr>
        <w:pStyle w:val="4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津沽三期污泥干化焚烧项目气体分析仪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1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7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2180</Words>
  <Characters>2348</Characters>
  <Lines>20</Lines>
  <Paragraphs>5</Paragraphs>
  <TotalTime>0</TotalTime>
  <ScaleCrop>false</ScaleCrop>
  <LinksUpToDate>false</LinksUpToDate>
  <CharactersWithSpaces>2491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2023-06-21T08:40:40Z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B39345F8062646768A7E09D683720C00_12</vt:lpwstr>
  </property>
</Properties>
</file>