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  <w:t>北京京城环保股份有限公司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  <w:lang w:val="en-US" w:eastAsia="zh-CN"/>
        </w:rPr>
      </w:pPr>
      <w:r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  <w:t>凯富大厦一层大门更换工程招标延期公告（二）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default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招标编号：ZB20230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8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-WUY0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6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项目名称：凯富大厦一层大门更换工程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由于特殊原因，对该项目招标工作再次延期。</w:t>
      </w:r>
      <w:bookmarkStart w:id="57" w:name="_GoBack"/>
      <w:bookmarkEnd w:id="57"/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其中接收报名资料截止时间延期至2023年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9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月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05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日中午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12时，招标文件发售截止时间延期至9月05日下午17时。现场踏勘及答疑会时间顺延至9月06日下午15时，开标日期顺延至9月14日下午14时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 xml:space="preserve">   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如有疑问请与联系人联系：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于江坤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  010-8523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522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6、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18610828513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default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邮 箱：yujiangkun@bmei.com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特此通知！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</w:rPr>
        <w:t> 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 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附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件：原招标公告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  <w:t xml:space="preserve">                       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北京京城环保股份有限公司 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                                科技运营部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                                      2023年8月30日</w:t>
      </w:r>
    </w:p>
    <w:p/>
    <w:p/>
    <w:p/>
    <w:p/>
    <w:p/>
    <w:p/>
    <w:p>
      <w:pPr>
        <w:pStyle w:val="3"/>
        <w:adjustRightInd w:val="0"/>
        <w:snapToGrid w:val="0"/>
        <w:spacing w:line="360" w:lineRule="auto"/>
        <w:rPr>
          <w:rFonts w:hint="eastAsia"/>
        </w:rPr>
      </w:pPr>
    </w:p>
    <w:p>
      <w:pPr>
        <w:pStyle w:val="3"/>
        <w:adjustRightInd w:val="0"/>
        <w:snapToGrid w:val="0"/>
        <w:spacing w:line="360" w:lineRule="auto"/>
        <w:rPr>
          <w:rFonts w:hint="eastAsia"/>
        </w:rPr>
      </w:pPr>
    </w:p>
    <w:p>
      <w:pPr>
        <w:pStyle w:val="3"/>
        <w:adjustRightInd w:val="0"/>
        <w:snapToGrid w:val="0"/>
        <w:spacing w:line="360" w:lineRule="auto"/>
      </w:pPr>
      <w:r>
        <w:rPr>
          <w:rFonts w:hint="eastAsia"/>
        </w:rPr>
        <w:t>招标公告</w:t>
      </w:r>
    </w:p>
    <w:p>
      <w:pPr>
        <w:adjustRightInd w:val="0"/>
        <w:snapToGrid w:val="0"/>
        <w:spacing w:line="360" w:lineRule="auto"/>
        <w:jc w:val="center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rPr>
          <w:rFonts w:hint="eastAsia" w:ascii="宋体" w:hAnsi="宋体"/>
          <w:bCs/>
          <w:szCs w:val="24"/>
        </w:rPr>
      </w:pPr>
      <w:bookmarkStart w:id="0" w:name="_Toc466452039"/>
      <w:r>
        <w:rPr>
          <w:rFonts w:hint="eastAsia" w:ascii="宋体" w:hAnsi="宋体"/>
          <w:szCs w:val="24"/>
        </w:rPr>
        <w:t>招标编号：</w:t>
      </w:r>
      <w:bookmarkEnd w:id="0"/>
      <w:r>
        <w:rPr>
          <w:rFonts w:hint="eastAsia" w:ascii="宋体" w:hAnsi="宋体" w:eastAsia="宋体" w:cs="宋体"/>
          <w:b w:val="0"/>
          <w:bCs/>
          <w:szCs w:val="24"/>
          <w:lang w:val="zh-CN"/>
        </w:rPr>
        <w:t>ZB202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Cs w:val="24"/>
          <w:lang w:val="zh-CN"/>
        </w:rPr>
        <w:t>0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Cs w:val="24"/>
          <w:lang w:val="zh-CN"/>
        </w:rPr>
        <w:t>-WUY0</w:t>
      </w:r>
      <w:r>
        <w:rPr>
          <w:rFonts w:hint="eastAsia" w:ascii="宋体" w:hAnsi="宋体" w:cs="宋体"/>
          <w:b w:val="0"/>
          <w:bCs/>
          <w:szCs w:val="24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bookmarkStart w:id="1" w:name="_Toc22705_WPSOffice_Level1"/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招标条件</w:t>
      </w:r>
      <w:bookmarkEnd w:id="1"/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本招标项目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三里屯四号院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凯富大厦一层大门更新工程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人为北京京城环保股份有限公司，建设资金为公司筹集。项目已具备招标条件，现对该项目的工程施工进行国内公开招标。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bookmarkStart w:id="2" w:name="_Toc23751_WPSOffice_Level2"/>
      <w:bookmarkStart w:id="3" w:name="_Toc5939_WPSOffice_Level2"/>
      <w:bookmarkStart w:id="4" w:name="_Toc3317"/>
      <w:bookmarkStart w:id="5" w:name="_Toc1927_WPSOffice_Level2"/>
      <w:bookmarkStart w:id="6" w:name="_Toc12168_WPSOffice_Level1"/>
      <w:bookmarkStart w:id="7" w:name="_Toc18247_WPSOffice_Level2"/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二、项目概况与招标范围</w:t>
      </w:r>
      <w:bookmarkEnd w:id="2"/>
      <w:bookmarkEnd w:id="3"/>
      <w:bookmarkEnd w:id="4"/>
      <w:bookmarkEnd w:id="5"/>
      <w:bookmarkEnd w:id="6"/>
      <w:bookmarkEnd w:id="7"/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bookmarkStart w:id="8" w:name="_Toc6158_WPSOffice_Level2"/>
      <w:bookmarkStart w:id="9" w:name="_Toc9905_WPSOffice_Level2"/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2.1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项目概况</w:t>
      </w:r>
      <w:bookmarkEnd w:id="8"/>
      <w:bookmarkEnd w:id="9"/>
    </w:p>
    <w:p>
      <w:pPr>
        <w:pageBreakBefore w:val="0"/>
        <w:widowControl/>
        <w:tabs>
          <w:tab w:val="left" w:pos="51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105" w:rightChars="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2.1.1项目名称：凯富大厦一层大门更新工程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2.1.2资金来源：公司筹集</w:t>
      </w:r>
    </w:p>
    <w:p>
      <w:pPr>
        <w:pageBreakBefore w:val="0"/>
        <w:widowControl/>
        <w:tabs>
          <w:tab w:val="left" w:pos="51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105" w:rightChars="50"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2.1.3工程建设规模：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共计四樘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pageBreakBefore w:val="0"/>
        <w:widowControl/>
        <w:tabs>
          <w:tab w:val="left" w:pos="510"/>
        </w:tabs>
        <w:kinsoku/>
        <w:wordWrap/>
        <w:overflowPunct/>
        <w:topLinePunct w:val="0"/>
        <w:bidi w:val="0"/>
        <w:adjustRightInd w:val="0"/>
        <w:snapToGrid w:val="0"/>
        <w:spacing w:after="156" w:afterLines="50" w:line="360" w:lineRule="auto"/>
        <w:ind w:right="105" w:rightChars="50"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2.1.4招标范围和内容：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3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对大厦一层主出入口4樘大门进行整体更新。大门更新后样式与现状保持一致，门框主材由原钢骨架包铝板皮改为一体（肯德基门）铝合金型材，门的颜色与大厦原设计保持一致为深咖啡色，具体详见设计图纸（电动门方案）。</w:t>
      </w:r>
    </w:p>
    <w:tbl>
      <w:tblPr>
        <w:tblStyle w:val="9"/>
        <w:tblW w:w="9516" w:type="dxa"/>
        <w:jc w:val="center"/>
        <w:tblInd w:w="-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092"/>
        <w:gridCol w:w="1560"/>
        <w:gridCol w:w="6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</w:t>
            </w:r>
          </w:p>
        </w:tc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凯富一层四个大门更新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电动平滑门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3樘，电动旋转门1樘</w:t>
            </w:r>
          </w:p>
        </w:tc>
        <w:tc>
          <w:tcPr>
            <w:tcW w:w="6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116840</wp:posOffset>
                  </wp:positionV>
                  <wp:extent cx="1790065" cy="1216660"/>
                  <wp:effectExtent l="0" t="0" r="635" b="2540"/>
                  <wp:wrapNone/>
                  <wp:docPr id="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65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2096135</wp:posOffset>
                  </wp:positionH>
                  <wp:positionV relativeFrom="paragraph">
                    <wp:posOffset>83185</wp:posOffset>
                  </wp:positionV>
                  <wp:extent cx="1774825" cy="1339215"/>
                  <wp:effectExtent l="0" t="0" r="15875" b="13335"/>
                  <wp:wrapNone/>
                  <wp:docPr id="10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5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bookmarkStart w:id="10" w:name="_Toc27674_WPSOffice_Level2"/>
      <w:bookmarkStart w:id="11" w:name="_Toc8335_WPSOffice_Level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2.2 工程建设地点：北京市朝阳区工体北路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号院</w:t>
      </w:r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12" w:name="_Toc20638_WPSOffice_Level2"/>
      <w:bookmarkStart w:id="13" w:name="_Toc356_WPSOffice_Level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2.3 计划开工日期202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日</w:t>
      </w:r>
      <w:bookmarkEnd w:id="12"/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共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45日历天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bookmarkStart w:id="14" w:name="_Toc22570_WPSOffice_Level2"/>
      <w:bookmarkStart w:id="15" w:name="_Toc7785_WPSOffice_Level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2.4 工程质量要求符合国家现行建筑施工规范相关规定。</w:t>
      </w:r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bookmarkStart w:id="16" w:name="_Toc16092_WPSOffice_Level2"/>
      <w:bookmarkStart w:id="17" w:name="_Toc29719_WPSOffice_Level2"/>
      <w:bookmarkStart w:id="18" w:name="_Toc10342_WPSOffice_Level2"/>
      <w:bookmarkStart w:id="19" w:name="_Toc2592_WPSOffice_Level2"/>
      <w:bookmarkStart w:id="20" w:name="_Toc14413"/>
      <w:bookmarkStart w:id="21" w:name="_Toc18530_WPSOffice_Level1"/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三、投标人资格要求</w:t>
      </w:r>
      <w:bookmarkEnd w:id="16"/>
      <w:bookmarkEnd w:id="17"/>
      <w:bookmarkEnd w:id="18"/>
      <w:bookmarkEnd w:id="19"/>
      <w:bookmarkEnd w:id="20"/>
      <w:bookmarkEnd w:id="21"/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3.1投标申请人须是具备民事责任能力的独立法人，同时具备建设行政主管部门核发的房屋建筑工程施工总承包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 w:eastAsia="zh-CN"/>
        </w:rPr>
        <w:t>或建筑装修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二级及以上资质、注册资本金不低于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00万。具有安全生产许可证的法人或其他组织，并在人员、设备、资金等方面具有相应的施工能力。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3.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 本项目不接受联合体投标，中标后不得转包，需提供中标后不得转包承诺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书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3.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 需提供均有良好的银行资信和商业信誉，拒绝被政府取消投标资格期间的企业或个人投标。需提供近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1年内的征信报告。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bookmarkStart w:id="22" w:name="_Toc16458_WPSOffice_Level1"/>
      <w:bookmarkStart w:id="23" w:name="_Toc7240_WPSOffice_Level2"/>
      <w:bookmarkStart w:id="24" w:name="_Toc1228_WPSOffice_Level2"/>
      <w:bookmarkStart w:id="25" w:name="_Toc18439_WPSOffice_Level2"/>
      <w:bookmarkStart w:id="26" w:name="_Toc14827"/>
      <w:bookmarkStart w:id="27" w:name="_Toc24790_WPSOffice_Level2"/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四、招标文件的获取</w:t>
      </w:r>
      <w:bookmarkEnd w:id="22"/>
      <w:bookmarkEnd w:id="23"/>
      <w:bookmarkEnd w:id="24"/>
      <w:bookmarkEnd w:id="25"/>
      <w:bookmarkEnd w:id="26"/>
      <w:bookmarkEnd w:id="27"/>
    </w:p>
    <w:p>
      <w:pPr>
        <w:pStyle w:val="11"/>
        <w:pageBreakBefore w:val="0"/>
        <w:shd w:val="clear" w:color="auto" w:fill="auto"/>
        <w:tabs>
          <w:tab w:val="left" w:leader="underscore" w:pos="2425"/>
          <w:tab w:val="left" w:leader="underscore" w:pos="3370"/>
        </w:tabs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ind w:left="20"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bookmarkStart w:id="28" w:name="_Toc19529_WPSOffice_Level2"/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4.1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报名、资格预审、招标文件发售及澄清答疑</w:t>
      </w:r>
      <w:bookmarkEnd w:id="28"/>
    </w:p>
    <w:p>
      <w:pPr>
        <w:pStyle w:val="11"/>
        <w:pageBreakBefore w:val="0"/>
        <w:shd w:val="clear" w:color="auto" w:fill="auto"/>
        <w:tabs>
          <w:tab w:val="left" w:leader="underscore" w:pos="2425"/>
          <w:tab w:val="left" w:leader="underscore" w:pos="3370"/>
        </w:tabs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ind w:left="20"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凡有意参加投标者，请于202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日至20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日(法定公休日、节假日除外)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进行报名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报名时段为上午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8时30分至11时30分，下午13时至1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时(北京时间下同)，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报名截止时间为8月21日中午12时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(北京时间下同)，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报名后招标方将进行资格预审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。招标方向通过资格预审的投标方售出招标文件。</w:t>
      </w:r>
    </w:p>
    <w:p>
      <w:pPr>
        <w:pStyle w:val="11"/>
        <w:pageBreakBefore w:val="0"/>
        <w:shd w:val="clear" w:color="auto" w:fill="auto"/>
        <w:tabs>
          <w:tab w:val="left" w:leader="underscore" w:pos="2425"/>
          <w:tab w:val="left" w:leader="underscore" w:pos="3370"/>
        </w:tabs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ind w:left="20"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招标文件发售时间为8月15日至8月21日下午17时。</w:t>
      </w:r>
    </w:p>
    <w:p>
      <w:pPr>
        <w:pStyle w:val="11"/>
        <w:pageBreakBefore w:val="0"/>
        <w:shd w:val="clear" w:color="auto" w:fill="auto"/>
        <w:tabs>
          <w:tab w:val="left" w:leader="underscore" w:pos="2425"/>
          <w:tab w:val="left" w:leader="underscore" w:pos="3370"/>
        </w:tabs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ind w:left="20"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招标方将在8月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日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下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午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时组织现场踏勘及答疑会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购得招标文件的投标方如需招标方对招标文件澄清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可在答疑会提出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。</w:t>
      </w:r>
    </w:p>
    <w:p>
      <w:pPr>
        <w:pStyle w:val="11"/>
        <w:pageBreakBefore w:val="0"/>
        <w:shd w:val="clear" w:color="auto" w:fill="auto"/>
        <w:tabs>
          <w:tab w:val="left" w:leader="underscore" w:pos="2425"/>
          <w:tab w:val="left" w:leader="underscore" w:pos="3370"/>
        </w:tabs>
        <w:kinsoku/>
        <w:wordWrap/>
        <w:overflowPunct/>
        <w:topLinePunct w:val="0"/>
        <w:bidi w:val="0"/>
        <w:adjustRightInd w:val="0"/>
        <w:snapToGrid w:val="0"/>
        <w:spacing w:before="0" w:line="360" w:lineRule="auto"/>
        <w:ind w:left="20"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bookmarkStart w:id="29" w:name="_Toc3483_WPSOffice_Level2"/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4.2报名及提交资格预审资料</w:t>
      </w:r>
      <w:bookmarkEnd w:id="29"/>
    </w:p>
    <w:p>
      <w:pPr>
        <w:pStyle w:val="6"/>
        <w:numPr>
          <w:ilvl w:val="0"/>
          <w:numId w:val="0"/>
        </w:num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（1）企业营业执照、组织机构代码、税务登记证（三证合一）副本复印件；</w:t>
      </w:r>
    </w:p>
    <w:p>
      <w:pPr>
        <w:pStyle w:val="6"/>
        <w:numPr>
          <w:ilvl w:val="0"/>
          <w:numId w:val="0"/>
        </w:num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zh-CN" w:eastAsia="zh-CN" w:bidi="ar-SA"/>
        </w:rPr>
        <w:t>（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zh-CN" w:eastAsia="zh-CN" w:bidi="ar-SA"/>
        </w:rPr>
        <w:t>）安全生产许可证；</w:t>
      </w:r>
    </w:p>
    <w:p>
      <w:pPr>
        <w:pStyle w:val="6"/>
        <w:numPr>
          <w:ilvl w:val="0"/>
          <w:numId w:val="0"/>
        </w:num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（3）第三部分“投标人资格要求”中要求的所有资质证书及证明、承诺材料；</w:t>
      </w:r>
    </w:p>
    <w:p>
      <w:pPr>
        <w:pStyle w:val="6"/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（4）法定代表人授权委托书原件，法人身份证、委托代理人身份证复印件；</w:t>
      </w:r>
    </w:p>
    <w:p>
      <w:pPr>
        <w:pStyle w:val="6"/>
        <w:adjustRightInd w:val="0"/>
        <w:snapToGrid w:val="0"/>
        <w:spacing w:line="360" w:lineRule="auto"/>
        <w:ind w:left="0" w:leftChars="0"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（5）近3年有3个相应或类似业绩合同或者证明文件的复印件；</w:t>
      </w:r>
    </w:p>
    <w:p>
      <w:pPr>
        <w:pStyle w:val="6"/>
        <w:adjustRightInd w:val="0"/>
        <w:snapToGrid w:val="0"/>
        <w:spacing w:line="360" w:lineRule="auto"/>
        <w:ind w:left="0" w:leftChars="0"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（6）提供无处于被责令停业，财产被接管，冻结、破产状态的证明（或承诺）文件；</w:t>
      </w:r>
    </w:p>
    <w:p>
      <w:pPr>
        <w:pStyle w:val="6"/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（7）提供中标后不得转包的承诺文件；</w:t>
      </w:r>
    </w:p>
    <w:p>
      <w:pPr>
        <w:pStyle w:val="6"/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（8）投标申请函；</w:t>
      </w:r>
    </w:p>
    <w:p>
      <w:pPr>
        <w:pStyle w:val="6"/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u w:val="none"/>
          <w:lang w:val="en-US" w:eastAsia="zh-CN" w:bidi="ar-SA"/>
        </w:rPr>
        <w:t>（9）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无关联关系说明（后附格式）；</w:t>
      </w:r>
    </w:p>
    <w:p>
      <w:pPr>
        <w:pStyle w:val="6"/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（10）质量管理体系、环境管理体系、职业健康与安全管理体系认证证书；</w:t>
      </w:r>
    </w:p>
    <w:p>
      <w:pPr>
        <w:pStyle w:val="6"/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（11）本公告附表1、2、3、4对应内容。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bookmarkStart w:id="30" w:name="_Toc6246_WPSOffice_Level2"/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4.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 招标文件售价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00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元，售出不退。</w:t>
      </w:r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bookmarkStart w:id="31" w:name="_Toc27447_WPSOffice_Level2"/>
      <w:bookmarkStart w:id="32" w:name="_Toc29617_WPSOffice_Level2"/>
      <w:bookmarkStart w:id="33" w:name="_Toc20242"/>
      <w:bookmarkStart w:id="34" w:name="_Toc18478_WPSOffice_Level2"/>
      <w:bookmarkStart w:id="35" w:name="_Toc22994_WPSOffice_Level2"/>
      <w:bookmarkStart w:id="36" w:name="_Toc20405_WPSOffice_Level1"/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五、投标文件的递交</w:t>
      </w:r>
      <w:bookmarkEnd w:id="31"/>
      <w:bookmarkEnd w:id="32"/>
      <w:bookmarkEnd w:id="33"/>
      <w:bookmarkEnd w:id="34"/>
      <w:bookmarkEnd w:id="35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及开标时间</w:t>
      </w:r>
      <w:bookmarkEnd w:id="36"/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5.1 投标文件递交的截止时间(投标截止时间，下同)为202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下午1：30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时，地点为北京朝阳工体北路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号院凯富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大厦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310室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定于2023年8月30日下午2：00公开开标。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5.2 逾期送达的或者未送达指定地点的投标文件，招标人不予受理。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5.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3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有效投标人不足法定人数时，招标人另行组织招标。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bookmarkStart w:id="37" w:name="_Toc5417_WPSOffice_Level2"/>
      <w:bookmarkStart w:id="38" w:name="_Toc16272_WPSOffice_Level2"/>
      <w:bookmarkStart w:id="39" w:name="_Toc4806"/>
      <w:bookmarkStart w:id="40" w:name="_Toc2451_WPSOffice_Level2"/>
      <w:bookmarkStart w:id="41" w:name="_Toc29334_WPSOffice_Level2"/>
      <w:bookmarkStart w:id="42" w:name="_Toc5865_WPSOffice_Level1"/>
      <w:r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  <w:t>六、发布公告的媒介</w:t>
      </w:r>
      <w:bookmarkEnd w:id="37"/>
      <w:bookmarkEnd w:id="38"/>
      <w:bookmarkEnd w:id="39"/>
      <w:bookmarkEnd w:id="40"/>
      <w:bookmarkEnd w:id="41"/>
      <w:bookmarkEnd w:id="42"/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/>
          <w:lang w:eastAsia="zh-CN"/>
        </w:rPr>
      </w:pPr>
      <w:bookmarkStart w:id="43" w:name="_Toc10613_WPSOffice_Level2"/>
      <w:bookmarkStart w:id="44" w:name="_Toc2743_WPSOffice_Level2"/>
      <w:bookmarkStart w:id="45" w:name="_Toc23894_WPSOffice_Level1"/>
      <w:bookmarkStart w:id="46" w:name="_Toc13684_WPSOffice_Level2"/>
      <w:bookmarkStart w:id="47" w:name="_Toc2720"/>
      <w:bookmarkStart w:id="48" w:name="_Toc12983_WPSOffice_Level2"/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本次公告仅在中国采购与招标网（http://www.chinabidding.com.cn）、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招标方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公司网站（http://www.bmei.com/）公示，因轻信其他组织、个人或媒介提供的信息而造成的损失，其责任由投标人自行负责。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七、联系方式</w:t>
      </w:r>
      <w:bookmarkEnd w:id="43"/>
      <w:bookmarkEnd w:id="44"/>
      <w:bookmarkEnd w:id="45"/>
      <w:bookmarkEnd w:id="46"/>
      <w:bookmarkEnd w:id="47"/>
      <w:bookmarkEnd w:id="48"/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招标人：北京京城环保股份有限公司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地址：北京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朝阳区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工体北路6号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凯富大厦三层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联系人：于江坤   电话：010-8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23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5226/18610828513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邮箱：yujiangkun@bmei.com</w:t>
      </w:r>
    </w:p>
    <w:p>
      <w:pPr>
        <w:pStyle w:val="8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8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49" w:name="_Toc19362_WPSOffice_Level1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北京京城环保股份有限公司</w:t>
      </w:r>
      <w:bookmarkEnd w:id="49"/>
    </w:p>
    <w:p>
      <w:pPr>
        <w:adjustRightInd w:val="0"/>
        <w:snapToGrid w:val="0"/>
        <w:spacing w:line="360" w:lineRule="auto"/>
        <w:jc w:val="both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2023年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</w:t>
      </w:r>
    </w:p>
    <w:p>
      <w:pPr>
        <w:pStyle w:val="2"/>
        <w:rPr>
          <w:rFonts w:hint="eastAsia" w:ascii="宋体" w:hAnsi="宋体"/>
          <w:bCs/>
          <w:sz w:val="24"/>
          <w:szCs w:val="24"/>
        </w:rPr>
      </w:pPr>
    </w:p>
    <w:p>
      <w:pPr>
        <w:rPr>
          <w:rFonts w:hint="eastAsia" w:ascii="宋体" w:hAnsi="宋体"/>
          <w:bCs/>
          <w:sz w:val="24"/>
          <w:szCs w:val="24"/>
        </w:rPr>
      </w:pPr>
    </w:p>
    <w:p>
      <w:pPr>
        <w:pStyle w:val="2"/>
        <w:rPr>
          <w:rFonts w:hint="eastAsia" w:ascii="宋体" w:hAnsi="宋体"/>
          <w:bCs/>
          <w:sz w:val="24"/>
          <w:szCs w:val="24"/>
        </w:rPr>
      </w:pPr>
    </w:p>
    <w:p>
      <w:pPr>
        <w:rPr>
          <w:rFonts w:hint="eastAsia" w:ascii="宋体" w:hAnsi="宋体"/>
          <w:bCs/>
          <w:sz w:val="24"/>
          <w:szCs w:val="24"/>
        </w:rPr>
      </w:pPr>
    </w:p>
    <w:p>
      <w:pPr>
        <w:pStyle w:val="2"/>
        <w:rPr>
          <w:rFonts w:hint="eastAsia" w:ascii="宋体" w:hAnsi="宋体"/>
          <w:bCs/>
          <w:sz w:val="24"/>
          <w:szCs w:val="24"/>
        </w:rPr>
      </w:pPr>
    </w:p>
    <w:p>
      <w:pPr>
        <w:rPr>
          <w:rFonts w:hint="eastAsia" w:ascii="宋体" w:hAnsi="宋体"/>
          <w:bCs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/>
          <w:bCs/>
          <w:sz w:val="24"/>
          <w:szCs w:val="24"/>
        </w:rPr>
      </w:pPr>
    </w:p>
    <w:p>
      <w:pPr>
        <w:pStyle w:val="3"/>
        <w:rPr>
          <w:rFonts w:hint="eastAsia"/>
        </w:rPr>
      </w:pPr>
      <w:bookmarkStart w:id="50" w:name="_Toc449703863"/>
      <w:bookmarkStart w:id="51" w:name="_Toc449619597"/>
      <w:bookmarkStart w:id="52" w:name="_Toc449618573"/>
      <w:bookmarkStart w:id="53" w:name="_Toc448839083"/>
      <w:bookmarkStart w:id="54" w:name="_Toc449703864"/>
      <w:bookmarkStart w:id="55" w:name="_Toc449702816"/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投标申请函</w:t>
      </w:r>
      <w:bookmarkEnd w:id="50"/>
      <w:bookmarkEnd w:id="51"/>
      <w:bookmarkEnd w:id="52"/>
      <w:bookmarkEnd w:id="53"/>
      <w:bookmarkEnd w:id="54"/>
      <w:bookmarkEnd w:id="55"/>
    </w:p>
    <w:p/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widowControl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1、</w:t>
      </w:r>
      <w:r>
        <w:rPr>
          <w:rFonts w:hint="eastAsia" w:ascii="宋体" w:hAnsi="宋体"/>
          <w:bCs/>
          <w:szCs w:val="21"/>
        </w:rPr>
        <w:t>按照</w:t>
      </w:r>
      <w:r>
        <w:rPr>
          <w:rFonts w:ascii="宋体" w:hAnsi="宋体"/>
          <w:bCs/>
          <w:szCs w:val="21"/>
        </w:rPr>
        <w:t>本</w:t>
      </w:r>
      <w:r>
        <w:rPr>
          <w:rFonts w:hint="eastAsia" w:ascii="宋体" w:hAnsi="宋体"/>
          <w:bCs/>
          <w:szCs w:val="21"/>
        </w:rPr>
        <w:t>招标公告</w:t>
      </w:r>
      <w:r>
        <w:rPr>
          <w:rFonts w:ascii="宋体" w:hAnsi="宋体"/>
          <w:bCs/>
          <w:szCs w:val="21"/>
        </w:rPr>
        <w:t>的要求，</w:t>
      </w:r>
      <w:r>
        <w:rPr>
          <w:rFonts w:hint="eastAsia" w:ascii="宋体" w:hAnsi="宋体"/>
          <w:bCs/>
          <w:szCs w:val="21"/>
        </w:rPr>
        <w:t>我方</w:t>
      </w:r>
      <w:r>
        <w:rPr>
          <w:rFonts w:hint="eastAsia" w:ascii="宋体" w:hAnsi="宋体"/>
          <w:bCs/>
          <w:szCs w:val="21"/>
          <w:highlight w:val="none"/>
        </w:rPr>
        <w:t>递交的申请文件及有关资料，用于招标人审查我方参加</w:t>
      </w:r>
      <w:r>
        <w:rPr>
          <w:rFonts w:hint="eastAsia" w:ascii="宋体" w:hAnsi="宋体"/>
          <w:bCs/>
          <w:szCs w:val="21"/>
          <w:highlight w:val="none"/>
          <w:lang w:eastAsia="zh-CN"/>
        </w:rPr>
        <w:t>招标方</w:t>
      </w:r>
      <w:r>
        <w:rPr>
          <w:rFonts w:hint="eastAsia" w:ascii="宋体" w:hAnsi="宋体"/>
          <w:bCs/>
          <w:szCs w:val="21"/>
          <w:highlight w:val="none"/>
          <w:u w:val="single"/>
          <w:lang w:eastAsia="zh-CN"/>
        </w:rPr>
        <w:t>凯富大厦一层大门更新工程</w:t>
      </w:r>
      <w:r>
        <w:rPr>
          <w:rFonts w:hint="eastAsia"/>
          <w:u w:val="single"/>
          <w:lang w:eastAsia="zh-CN"/>
        </w:rPr>
        <w:t>项目</w:t>
      </w:r>
      <w:r>
        <w:rPr>
          <w:rFonts w:hint="eastAsia" w:ascii="宋体" w:hAnsi="宋体"/>
          <w:bCs/>
          <w:szCs w:val="21"/>
          <w:highlight w:val="none"/>
          <w:u w:val="single"/>
        </w:rPr>
        <w:t>招标</w:t>
      </w:r>
      <w:r>
        <w:rPr>
          <w:rFonts w:hint="eastAsia" w:ascii="宋体" w:hAnsi="宋体"/>
          <w:bCs/>
          <w:szCs w:val="21"/>
          <w:highlight w:val="none"/>
        </w:rPr>
        <w:t>采购的投标资格。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pStyle w:val="3"/>
        <w:jc w:val="center"/>
      </w:pPr>
      <w:r>
        <w:rPr>
          <w:rFonts w:hint="eastAsia" w:ascii="Times New Roman"/>
          <w:b w:val="0"/>
          <w:kern w:val="2"/>
          <w:sz w:val="21"/>
          <w:szCs w:val="24"/>
          <w:lang w:val="en-US" w:eastAsia="zh-CN" w:bidi="ar-SA"/>
        </w:rPr>
        <w:t xml:space="preserve">    法定代表人或其委托代理人（签名）：</w:t>
      </w:r>
      <w:r>
        <w:rPr>
          <w:rFonts w:hint="eastAsia" w:ascii="宋体" w:hAnsi="宋体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邮箱：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日</w:t>
      </w:r>
    </w:p>
    <w:p>
      <w:pPr>
        <w:ind w:left="2240" w:hanging="1680" w:hangingChars="8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Cs w:val="21"/>
          <w:lang w:eastAsia="zh-CN"/>
        </w:rPr>
        <w:t>附法人及授权代理人身份证复印件：</w:t>
      </w: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56" w:name="_Toc146512971"/>
      <w:r>
        <w:rPr>
          <w:rFonts w:hint="eastAsia" w:ascii="黑体" w:eastAsia="黑体"/>
          <w:b w:val="0"/>
        </w:rPr>
        <w:t>资格审查申请表</w:t>
      </w:r>
      <w:bookmarkEnd w:id="56"/>
    </w:p>
    <w:p>
      <w:pPr>
        <w:spacing w:before="156"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before="156" w:beforeLines="50" w:after="156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</w:p>
    <w:p>
      <w:pPr>
        <w:spacing w:before="156" w:beforeLines="50" w:after="156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类似项目经验（三个合同复印件及以上）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noWrap w:val="0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  <w:noWrap w:val="0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法定代表人：（签字盖章）日期：年</w:t>
      </w:r>
      <w:r>
        <w:rPr>
          <w:rFonts w:hint="eastAsia" w:ascii="宋体" w:hAnsi="宋体" w:cs="Arial"/>
          <w:szCs w:val="21"/>
          <w:lang w:val="en-US" w:eastAsia="zh-CN"/>
        </w:rPr>
        <w:t xml:space="preserve">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</w:t>
      </w:r>
      <w:r>
        <w:rPr>
          <w:rFonts w:hint="eastAsia" w:ascii="宋体" w:hAnsi="宋体" w:cs="Arial"/>
          <w:szCs w:val="21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</w:pPr>
    </w:p>
    <w:p>
      <w:pPr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说  明</w:t>
      </w:r>
    </w:p>
    <w:p>
      <w:pPr>
        <w:jc w:val="center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致：北京京城环保股份有限公司</w:t>
      </w: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我公司（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u w:val="single"/>
          <w:shd w:val="clear" w:color="auto" w:fill="FFFFFF"/>
          <w:lang w:val="en-US" w:eastAsia="zh-CN" w:bidi="ar-SA"/>
        </w:rPr>
        <w:t xml:space="preserve">                                     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）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eastAsia="zh-CN" w:bidi="ar-SA"/>
        </w:rPr>
        <w:t>持股人（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或公司董高监人员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eastAsia="zh-CN" w:bidi="ar-SA"/>
        </w:rPr>
        <w:t>）及其近亲属无在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贵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eastAsia="zh-CN" w:bidi="ar-SA"/>
        </w:rPr>
        <w:t>公司任职的情况，</w:t>
      </w: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特此说明。</w:t>
      </w: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</w:p>
    <w:p>
      <w:pPr>
        <w:ind w:firstLine="560" w:firstLineChars="200"/>
        <w:jc w:val="left"/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                                  单位名称（签章）：</w:t>
      </w:r>
    </w:p>
    <w:p>
      <w:pPr>
        <w:ind w:firstLine="560" w:firstLineChars="200"/>
        <w:jc w:val="left"/>
        <w:rPr>
          <w:rFonts w:hint="default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01138"/>
    <w:rsid w:val="0FDA5172"/>
    <w:rsid w:val="10EE153A"/>
    <w:rsid w:val="19955A79"/>
    <w:rsid w:val="2C121C80"/>
    <w:rsid w:val="3D25517F"/>
    <w:rsid w:val="3D3C3A8D"/>
    <w:rsid w:val="4800494D"/>
    <w:rsid w:val="50956DD3"/>
    <w:rsid w:val="585E2C56"/>
    <w:rsid w:val="598C726F"/>
    <w:rsid w:val="644073DC"/>
    <w:rsid w:val="65501138"/>
    <w:rsid w:val="799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4">
    <w:name w:val="heading 2"/>
    <w:basedOn w:val="5"/>
    <w:next w:val="1"/>
    <w:qFormat/>
    <w:uiPriority w:val="99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pacing w:before="120"/>
      <w:jc w:val="center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5">
    <w:name w:val="toc 1"/>
    <w:basedOn w:val="1"/>
    <w:next w:val="1"/>
    <w:semiHidden/>
    <w:uiPriority w:val="99"/>
  </w:style>
  <w:style w:type="paragraph" w:styleId="6">
    <w:name w:val="Body Text Indent 3"/>
    <w:basedOn w:val="1"/>
    <w:qFormat/>
    <w:uiPriority w:val="99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customStyle="1" w:styleId="11">
    <w:name w:val="正文文本3"/>
    <w:qFormat/>
    <w:uiPriority w:val="0"/>
    <w:pPr>
      <w:widowControl w:val="0"/>
      <w:shd w:val="clear" w:color="auto" w:fill="FFFFFF"/>
      <w:spacing w:before="720" w:line="466" w:lineRule="exact"/>
      <w:ind w:hanging="1240"/>
      <w:jc w:val="distribute"/>
    </w:pPr>
    <w:rPr>
      <w:rFonts w:ascii="宋体" w:hAnsi="宋体" w:eastAsia="宋体" w:cs="宋体"/>
      <w:kern w:val="2"/>
      <w:sz w:val="19"/>
      <w:szCs w:val="1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2023-05-22T01:05:00Z</dcterms:created>
  <dc:creator>于江坤</dc:creator>
  <cp:lastModifiedBy>于江坤</cp:lastModifiedBy>
  <dcterms:modified xsi:type="dcterms:W3CDTF">2023-08-30T01:14:16Z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