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Toc448839082"/>
      <w:bookmarkStart w:id="1" w:name="_Toc452641979"/>
      <w:r>
        <w:rPr>
          <w:rFonts w:hint="eastAsia" w:ascii="宋体" w:hAnsi="宋体" w:eastAsia="宋体" w:cs="宋体"/>
          <w:b/>
          <w:bCs/>
          <w:sz w:val="36"/>
          <w:szCs w:val="36"/>
        </w:rPr>
        <w:t>济南污泥处置中心项目</w:t>
      </w:r>
    </w:p>
    <w:p>
      <w:pPr>
        <w:autoSpaceDE w:val="0"/>
        <w:autoSpaceDN w:val="0"/>
        <w:adjustRightInd w:val="0"/>
        <w:jc w:val="center"/>
        <w:rPr>
          <w:rFonts w:hint="eastAsia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静电除尘器设备及其附件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招标文件</w:t>
      </w:r>
    </w:p>
    <w:bookmarkEnd w:id="0"/>
    <w:bookmarkEnd w:id="1"/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bookmarkStart w:id="2" w:name="_Toc527364898"/>
      <w:r>
        <w:rPr>
          <w:rFonts w:hint="eastAsia" w:ascii="宋体" w:hAnsi="宋体" w:eastAsia="宋体" w:cs="宋体"/>
          <w:sz w:val="24"/>
          <w:szCs w:val="24"/>
        </w:rPr>
        <w:t>招标公告</w:t>
      </w:r>
      <w:bookmarkEnd w:id="2"/>
    </w:p>
    <w:p>
      <w:pPr>
        <w:rPr>
          <w:rFonts w:hint="eastAsia" w:ascii="宋体" w:hAnsi="宋体" w:eastAsia="宋体" w:cs="宋体"/>
          <w:sz w:val="24"/>
          <w:szCs w:val="24"/>
          <w:lang w:val="zh-CN"/>
        </w:rPr>
      </w:pP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bookmarkStart w:id="3" w:name="_Toc527364899"/>
      <w:r>
        <w:rPr>
          <w:rFonts w:hint="eastAsia" w:ascii="宋体" w:hAnsi="宋体" w:eastAsia="宋体" w:cs="宋体"/>
          <w:sz w:val="24"/>
          <w:szCs w:val="24"/>
        </w:rPr>
        <w:t>一、招标编号：</w:t>
      </w:r>
      <w:bookmarkEnd w:id="3"/>
      <w:r>
        <w:rPr>
          <w:rFonts w:hint="eastAsia" w:hAnsi="宋体" w:cs="宋体"/>
          <w:bCs/>
          <w:sz w:val="24"/>
          <w:szCs w:val="24"/>
          <w:lang w:eastAsia="zh-CN"/>
        </w:rPr>
        <w:t>ZB202312-HBZB03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4" w:name="_Toc527364900"/>
      <w:r>
        <w:rPr>
          <w:rFonts w:hint="eastAsia" w:ascii="宋体" w:hAnsi="宋体" w:eastAsia="宋体" w:cs="宋体"/>
          <w:sz w:val="24"/>
          <w:szCs w:val="24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（1）项目全称：济南市污泥处置中心项目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（2）项目位置：济南市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5" w:name="_Toc527364901"/>
      <w:r>
        <w:rPr>
          <w:rFonts w:hint="eastAsia" w:ascii="宋体" w:hAnsi="宋体" w:eastAsia="宋体" w:cs="宋体"/>
          <w:sz w:val="24"/>
          <w:szCs w:val="24"/>
        </w:rPr>
        <w:t>三、招标范围</w:t>
      </w:r>
      <w:bookmarkEnd w:id="5"/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bookmarkStart w:id="6" w:name="_Toc81619732"/>
      <w:r>
        <w:rPr>
          <w:rFonts w:hint="eastAsia" w:ascii="宋体" w:hAnsi="宋体" w:eastAsia="宋体" w:cs="宋体"/>
          <w:bCs/>
          <w:sz w:val="24"/>
          <w:szCs w:val="24"/>
        </w:rPr>
        <w:t>工程规模：济南市污泥处置中心项目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静电除尘器设备及其附件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招标范围：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静电除尘器设备及其附件</w:t>
      </w:r>
      <w:r>
        <w:rPr>
          <w:rFonts w:hint="eastAsia" w:ascii="宋体" w:hAnsi="宋体" w:eastAsia="宋体" w:cs="宋体"/>
          <w:bCs/>
          <w:sz w:val="24"/>
          <w:szCs w:val="24"/>
        </w:rPr>
        <w:t>共2套。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3、供货设备信息：详见附件技术协议和图纸。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6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设备名称</w:t>
            </w:r>
          </w:p>
        </w:tc>
        <w:tc>
          <w:tcPr>
            <w:tcW w:w="630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设备规格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静电除尘器设备及其附件</w:t>
            </w:r>
          </w:p>
        </w:tc>
        <w:tc>
          <w:tcPr>
            <w:tcW w:w="630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Q=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000m³/h，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电场数量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3个，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val="en-US" w:eastAsia="zh-CN"/>
              </w:rPr>
              <w:t>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口烟气温度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0~250℃；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val="en-US" w:eastAsia="zh-CN"/>
              </w:rPr>
              <w:t>漏风率&lt;3%；安装方式：卧式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；除尘效率＞99.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%；设备阻力：≤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00Pa；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val="en-US" w:eastAsia="zh-CN"/>
              </w:rPr>
              <w:t>壳体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、灰斗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val="en-US" w:eastAsia="zh-CN"/>
              </w:rPr>
              <w:t>上盖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厚度6mm；壳体材质ND钢防腐；保温厚度为100mm硅酸铝纤维毡+（0.7mm）不锈钢板，设备表面温度＜50℃。含静电除尘器电仪控</w:t>
            </w:r>
            <w:r>
              <w:rPr>
                <w:rFonts w:hint="eastAsia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钢架、平台、爬梯和护栏设计和供货等。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仅供参考，技术协议为准）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4、招标范围说明：2套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静电除尘器设备及其附件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的设计、制造、供货、安装、系统单机调试及相关的技术服务、技术培训、售后服务，双层顶盖内（保温桶）的保温材料以及保温钩钉、保温骨架外的设计、供货，以及外保温和外护板设计，提供隔热及保温材料的数量及规格参数，并出具保温材料及护板的详细图纸及工程量清单（不包含供货和施工安装）。控制系统及电气仪表控制系统。设备为自支撑，设备支腿（含支腿底座、基础预埋件）、平台、爬梯及护栏在投标方供货范围内</w:t>
      </w:r>
      <w:r>
        <w:rPr>
          <w:rFonts w:hint="eastAsia" w:hAnsi="宋体" w:eastAsia="宋体" w:cs="宋体"/>
          <w:bCs/>
          <w:sz w:val="24"/>
          <w:szCs w:val="24"/>
          <w:lang w:eastAsia="zh-CN"/>
        </w:rPr>
        <w:t>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7" w:name="_Toc527364902"/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4、交货时间：202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bCs/>
          <w:sz w:val="24"/>
          <w:szCs w:val="24"/>
        </w:rPr>
        <w:t>月（预计）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7、开标时间：202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bCs/>
          <w:sz w:val="24"/>
          <w:szCs w:val="24"/>
        </w:rPr>
        <w:t>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Cs/>
          <w:sz w:val="24"/>
          <w:szCs w:val="24"/>
        </w:rPr>
        <w:t>0（北京时间）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8、开标地点：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9、招标联系人地点：</w:t>
      </w:r>
      <w:r>
        <w:rPr>
          <w:rFonts w:hint="eastAsia" w:ascii="宋体" w:hAnsi="宋体" w:eastAsia="宋体" w:cs="宋体"/>
          <w:sz w:val="24"/>
          <w:szCs w:val="24"/>
        </w:rPr>
        <w:t>北京经济技术开发区永昌南路5号亦庄办公区三楼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北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10、招标文件发售时间：202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日～202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年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Cs/>
          <w:sz w:val="24"/>
          <w:szCs w:val="24"/>
        </w:rPr>
        <w:t>月</w:t>
      </w:r>
      <w:r>
        <w:rPr>
          <w:rFonts w:hint="eastAsia" w:hAnsi="宋体" w:eastAsia="宋体" w:cs="宋体"/>
          <w:bCs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Cs/>
          <w:sz w:val="24"/>
          <w:szCs w:val="24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11、招标文件澄清及答疑时间：招标方尽快给于答疑。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13、媒介：本次公告在中国采购与招标网（http://www.chinabidding.com.cn）、公司网站（http://www.bmei.com/）。因轻信其他组织、个人或媒介提供的信息而造成的损失，其责任由投标人自行负责。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14、</w:t>
      </w:r>
      <w:r>
        <w:rPr>
          <w:rFonts w:hint="eastAsia" w:ascii="宋体" w:hAnsi="宋体" w:eastAsia="宋体" w:cs="宋体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Cs/>
          <w:sz w:val="24"/>
          <w:szCs w:val="24"/>
        </w:rPr>
        <w:t>上述所有时间均为北京时间。</w:t>
      </w:r>
    </w:p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8" w:name="_Toc527364903"/>
      <w:r>
        <w:rPr>
          <w:rFonts w:hint="eastAsia" w:ascii="宋体" w:hAnsi="宋体" w:eastAsia="宋体" w:cs="宋体"/>
          <w:sz w:val="24"/>
          <w:szCs w:val="24"/>
        </w:rPr>
        <w:t>五、投标人资格要求</w:t>
      </w:r>
      <w:bookmarkEnd w:id="8"/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1、供应商应当具备下列条件：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（1）具备履行民事责任能力的独立法人，注册资本金不低于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000万元</w:t>
      </w:r>
      <w:r>
        <w:rPr>
          <w:rFonts w:hint="eastAsia" w:eastAsia="宋体" w:cs="宋体"/>
          <w:bCs/>
          <w:sz w:val="24"/>
          <w:szCs w:val="24"/>
          <w:lang w:eastAsia="zh-CN"/>
        </w:rPr>
        <w:t>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（2）具有类似项目的供货服务经验；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szCs w:val="24"/>
        </w:rPr>
        <w:t>）具有履行合同所必需的设备和专业技术能力；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）具有良好的银行资信和商业信誉；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</w:t>
      </w:r>
      <w:r>
        <w:rPr>
          <w:rFonts w:hint="eastAsia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）参加招投标活动2年内没有相关违法或者违法嫌疑记录。</w:t>
      </w:r>
    </w:p>
    <w:p>
      <w:pPr>
        <w:pStyle w:val="26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2、在购买标书时须向招标人提供以下材料（加盖公章）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bookmarkStart w:id="9" w:name="_Toc527364904"/>
      <w:r>
        <w:rPr>
          <w:rFonts w:hint="eastAsia" w:ascii="宋体" w:hAnsi="宋体" w:eastAsia="宋体" w:cs="宋体"/>
          <w:bCs/>
          <w:sz w:val="24"/>
          <w:szCs w:val="24"/>
        </w:rPr>
        <w:t>（1）企业营业执照、组织机构代码、税务登记证（三证合一）副本复印件；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（2）法定代表人授权委托书原件，法人身份证、委托代理人身份证复印件；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（3）近3年有3个相应或类似业绩合同或者证明文件的复印件（焚烧项目优先）；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（4）提供无处于被责令停业，财产被接管，冻结、破产状态的证明（或承诺）文件；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（5）提供无京城环保员工或亲属在贵公司任职或控股的证明（或承诺）文件；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（6）提供中标后不得转包的承诺文件；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（7）投标申请函及附表。</w:t>
      </w:r>
    </w:p>
    <w:bookmarkEnd w:id="9"/>
    <w:p>
      <w:pPr>
        <w:pStyle w:val="5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21" w:name="_GoBack"/>
      <w:bookmarkEnd w:id="21"/>
      <w:r>
        <w:rPr>
          <w:rFonts w:hint="eastAsia" w:ascii="宋体" w:hAnsi="宋体" w:eastAsia="宋体" w:cs="宋体"/>
          <w:sz w:val="24"/>
          <w:szCs w:val="24"/>
        </w:rPr>
        <w:t>六、投标费用</w:t>
      </w:r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招标文件每套购置费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00元；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3600" w:firstLineChars="1500"/>
        <w:jc w:val="righ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北京京城环保股份有限公司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bookmarkStart w:id="10" w:name="_Toc468782281"/>
      <w:bookmarkStart w:id="11" w:name="_Toc471479165"/>
      <w:bookmarkStart w:id="12" w:name="_Toc471478430"/>
      <w:bookmarkStart w:id="13" w:name="_Toc452621175"/>
      <w:r>
        <w:rPr>
          <w:rFonts w:hint="eastAsia" w:ascii="宋体" w:hAnsi="宋体" w:eastAsia="宋体" w:cs="宋体"/>
          <w:b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年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hAnsi="宋体" w:eastAsia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bookmarkEnd w:id="10"/>
      <w:bookmarkEnd w:id="11"/>
      <w:bookmarkEnd w:id="12"/>
      <w:r>
        <w:rPr>
          <w:rFonts w:hint="eastAsia" w:ascii="宋体" w:hAnsi="宋体" w:eastAsia="宋体" w:cs="宋体"/>
          <w:b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br w:type="page"/>
      </w:r>
      <w:bookmarkStart w:id="14" w:name="_Toc449618573"/>
      <w:bookmarkStart w:id="15" w:name="_Toc449619597"/>
      <w:bookmarkStart w:id="16" w:name="_Toc449687366"/>
      <w:bookmarkStart w:id="17" w:name="_Toc449700509"/>
      <w:bookmarkStart w:id="18" w:name="_Toc448839083"/>
    </w:p>
    <w:p>
      <w:pPr>
        <w:pStyle w:val="5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19" w:name="_Toc527364905"/>
      <w:r>
        <w:rPr>
          <w:rFonts w:hint="eastAsia" w:ascii="宋体" w:hAnsi="宋体" w:eastAsia="宋体" w:cs="宋体"/>
          <w:sz w:val="24"/>
          <w:szCs w:val="24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致：北京京城环保股份有限公司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1、按照本招标公告的要求，我方递交的申请文件及有关资料，用于招标人审查我方参加</w:t>
      </w:r>
      <w:r>
        <w:rPr>
          <w:rFonts w:hint="eastAsia" w:hAnsi="宋体" w:eastAsia="宋体" w:cs="宋体"/>
          <w:b/>
          <w:bCs/>
          <w:sz w:val="21"/>
          <w:szCs w:val="21"/>
          <w:u w:val="single"/>
          <w:lang w:eastAsia="zh-CN"/>
        </w:rPr>
        <w:t>济南市污泥处置中心项目静电除尘器设备及其附件</w:t>
      </w:r>
      <w:r>
        <w:rPr>
          <w:rFonts w:hint="eastAsia" w:ascii="宋体" w:hAnsi="宋体" w:eastAsia="宋体" w:cs="宋体"/>
          <w:bCs/>
          <w:sz w:val="21"/>
          <w:szCs w:val="21"/>
        </w:rPr>
        <w:t>招标采购的投标资格。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2、我方同意招标人在投标期间，对我们所报内容进行实际考察，并核实其真实性与准确性，我方一定积极配合。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3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4、我方理解招标人有权拒绝任何申请，而无需由招标人承担任何责任。</w:t>
      </w:r>
    </w:p>
    <w:p>
      <w:pPr>
        <w:pStyle w:val="14"/>
        <w:adjustRightInd w:val="0"/>
        <w:snapToGrid w:val="0"/>
        <w:spacing w:line="360" w:lineRule="auto"/>
        <w:ind w:firstLine="0" w:firstLineChars="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5、在确定我方为正式投标人（购买招标文件）后，我方愿意按招标文件的要求详细填写和编制投标文件，并按“前附表”确定的时间、地点准时参加投标。</w:t>
      </w: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申请人（盖章）：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法定代表人或其委托代理人（签名）：</w:t>
      </w: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4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4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8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8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8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8F875"/>
    <w:multiLevelType w:val="singleLevel"/>
    <w:tmpl w:val="2958F87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12234C4"/>
    <w:rsid w:val="27206A9F"/>
    <w:rsid w:val="27221D23"/>
    <w:rsid w:val="2AB31482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811E32"/>
    <w:rsid w:val="46FB7303"/>
    <w:rsid w:val="47334DCA"/>
    <w:rsid w:val="4853080F"/>
    <w:rsid w:val="4881691B"/>
    <w:rsid w:val="48AF6B94"/>
    <w:rsid w:val="492E5ABE"/>
    <w:rsid w:val="49BA773C"/>
    <w:rsid w:val="4AF3236D"/>
    <w:rsid w:val="4B55119A"/>
    <w:rsid w:val="4B796657"/>
    <w:rsid w:val="4BF60A57"/>
    <w:rsid w:val="4C1712AE"/>
    <w:rsid w:val="4C945ACA"/>
    <w:rsid w:val="50886A77"/>
    <w:rsid w:val="50C60A2C"/>
    <w:rsid w:val="57302B96"/>
    <w:rsid w:val="57770B17"/>
    <w:rsid w:val="5C19001B"/>
    <w:rsid w:val="5C4C1CD3"/>
    <w:rsid w:val="610E073D"/>
    <w:rsid w:val="61B823F1"/>
    <w:rsid w:val="6213373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3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5">
    <w:name w:val="heading 2"/>
    <w:basedOn w:val="6"/>
    <w:next w:val="1"/>
    <w:link w:val="24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40" w:lineRule="atLeast"/>
      <w:ind w:right="-159" w:firstLine="246" w:firstLineChars="100"/>
    </w:pPr>
    <w:rPr>
      <w:spacing w:val="20"/>
    </w:rPr>
  </w:style>
  <w:style w:type="paragraph" w:customStyle="1" w:styleId="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Cs w:val="21"/>
    </w:rPr>
  </w:style>
  <w:style w:type="paragraph" w:styleId="6">
    <w:name w:val="toc 1"/>
    <w:basedOn w:val="1"/>
    <w:next w:val="1"/>
    <w:semiHidden/>
    <w:unhideWhenUsed/>
    <w:qFormat/>
    <w:uiPriority w:val="39"/>
  </w:style>
  <w:style w:type="paragraph" w:styleId="7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8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9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10">
    <w:name w:val="Date"/>
    <w:basedOn w:val="1"/>
    <w:next w:val="1"/>
    <w:link w:val="32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link w:val="25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7"/>
    <w:next w:val="7"/>
    <w:link w:val="31"/>
    <w:semiHidden/>
    <w:unhideWhenUsed/>
    <w:qFormat/>
    <w:uiPriority w:val="99"/>
    <w:rPr>
      <w:b/>
      <w:bCs/>
    </w:rPr>
  </w:style>
  <w:style w:type="paragraph" w:styleId="17">
    <w:name w:val="Body Text First Indent 2"/>
    <w:basedOn w:val="2"/>
    <w:unhideWhenUsed/>
    <w:qFormat/>
    <w:uiPriority w:val="99"/>
    <w:pPr>
      <w:spacing w:after="120"/>
      <w:ind w:left="420" w:leftChars="200" w:firstLine="420"/>
    </w:pPr>
    <w:rPr>
      <w:rFonts w:ascii="Times New Roman" w:hAnsi="Times New Roman"/>
      <w:sz w:val="21"/>
      <w:szCs w:val="24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3">
    <w:name w:val="标题 1 Char"/>
    <w:basedOn w:val="20"/>
    <w:link w:val="4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4">
    <w:name w:val="标题 2 Char"/>
    <w:basedOn w:val="20"/>
    <w:link w:val="5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5">
    <w:name w:val="正文文本缩进 3 Char"/>
    <w:basedOn w:val="20"/>
    <w:link w:val="14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批注框文本 Char"/>
    <w:basedOn w:val="20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眉 Char"/>
    <w:basedOn w:val="20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脚 Char"/>
    <w:basedOn w:val="20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批注文字 Char"/>
    <w:basedOn w:val="20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2">
    <w:name w:val="日期 Char"/>
    <w:basedOn w:val="20"/>
    <w:link w:val="10"/>
    <w:semiHidden/>
    <w:qFormat/>
    <w:uiPriority w:val="99"/>
    <w:rPr>
      <w:kern w:val="2"/>
      <w:sz w:val="21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4">
    <w:name w:val="cucd-0 Char"/>
    <w:link w:val="35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5">
    <w:name w:val="cucd-0"/>
    <w:link w:val="34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  <w:style w:type="character" w:customStyle="1" w:styleId="36">
    <w:name w:val="font2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31"/>
    <w:basedOn w:val="2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38">
    <w:name w:val="font1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2023-12-05T01:12:31Z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B39345F8062646768A7E09D683720C00_12</vt:lpwstr>
  </property>
</Properties>
</file>