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浙江污泥处理项目建设工程竣工结算服务招标文件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21175"/>
      <w:bookmarkStart w:id="3" w:name="_Toc452641986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ZB202402-HBZB03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污泥处理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浙江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</w:t>
      </w:r>
      <w:r>
        <w:rPr>
          <w:rFonts w:hint="eastAsia"/>
          <w:bCs/>
          <w:szCs w:val="21"/>
          <w:lang w:eastAsia="zh-CN"/>
        </w:rPr>
        <w:t>内容</w:t>
      </w:r>
      <w:r>
        <w:rPr>
          <w:rFonts w:hint="eastAsia"/>
          <w:bCs/>
          <w:szCs w:val="21"/>
        </w:rPr>
        <w:t>：</w:t>
      </w:r>
      <w:r>
        <w:rPr>
          <w:rFonts w:hint="eastAsia"/>
        </w:rPr>
        <w:t>为污泥处理项目提供建设工程</w:t>
      </w:r>
      <w:r>
        <w:rPr>
          <w:rFonts w:hint="eastAsia"/>
          <w:lang w:eastAsia="zh-CN"/>
        </w:rPr>
        <w:t>竣工结算服务及</w:t>
      </w:r>
      <w:r>
        <w:rPr>
          <w:rFonts w:hint="eastAsia"/>
        </w:rPr>
        <w:t>服务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2、招标范围：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1）配合买方完成建设工程结算、竣工结（决）算的编制工作；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2）配合买方完成工程洽商、变更及合同争议的鉴定与索赔工作；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3）配合买方完成与审计单位的沟通与协调工作；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</w:t>
      </w:r>
      <w:r>
        <w:rPr>
          <w:rFonts w:hint="eastAsia" w:ascii="Times New Roman" w:hAnsi="Times New Roman"/>
          <w:bCs/>
          <w:szCs w:val="21"/>
          <w:lang w:eastAsia="zh-CN"/>
        </w:rPr>
        <w:t>服务</w:t>
      </w:r>
      <w:r>
        <w:rPr>
          <w:rFonts w:ascii="Times New Roman" w:hAnsi="Times New Roman"/>
          <w:bCs/>
          <w:szCs w:val="21"/>
        </w:rPr>
        <w:t>清单：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53"/>
        <w:gridCol w:w="3997"/>
        <w:gridCol w:w="71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内容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工程竣工结算服务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8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详见附件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36"/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招标范围说明：</w:t>
      </w:r>
      <w:r>
        <w:rPr>
          <w:rFonts w:hint="eastAsia"/>
        </w:rPr>
        <w:t>为污泥处理项目提供建设工程</w:t>
      </w:r>
      <w:r>
        <w:rPr>
          <w:rFonts w:hint="eastAsia"/>
          <w:lang w:eastAsia="zh-CN"/>
        </w:rPr>
        <w:t>竣工结算服务及</w:t>
      </w:r>
      <w:r>
        <w:rPr>
          <w:rFonts w:hint="eastAsia"/>
        </w:rPr>
        <w:t>服务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</w:t>
      </w:r>
      <w:r>
        <w:rPr>
          <w:rFonts w:hint="eastAsia"/>
          <w:bCs/>
          <w:szCs w:val="21"/>
          <w:lang w:eastAsia="zh-CN"/>
        </w:rPr>
        <w:t>付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3月15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</w:t>
      </w:r>
      <w:r>
        <w:rPr>
          <w:rFonts w:hint="eastAsia"/>
          <w:szCs w:val="21"/>
          <w:u w:val="none"/>
          <w:lang w:eastAsia="zh-CN"/>
        </w:rPr>
        <w:t>北京市经济技术开发区永昌南路5号  北京京城环保股份有限公司三层</w:t>
      </w:r>
      <w:r>
        <w:rPr>
          <w:rFonts w:hint="eastAsia"/>
          <w:bCs/>
          <w:szCs w:val="21"/>
          <w:u w:val="none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</w:t>
      </w:r>
      <w:r>
        <w:rPr>
          <w:rFonts w:hint="eastAsia"/>
          <w:szCs w:val="21"/>
          <w:u w:val="none"/>
          <w:lang w:eastAsia="zh-CN"/>
        </w:rPr>
        <w:t>北京市经济技术开发区永昌南路5号  北京京城环保股份有限公司三层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2月29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3月8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3月9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u w:val="none"/>
          <w:lang w:eastAsia="zh-CN"/>
        </w:rPr>
        <w:t>前</w:t>
      </w:r>
      <w:r>
        <w:rPr>
          <w:rFonts w:hint="eastAsia"/>
          <w:bCs/>
          <w:szCs w:val="21"/>
          <w:u w:val="none"/>
        </w:rPr>
        <w:t>，招标</w:t>
      </w:r>
      <w:r>
        <w:rPr>
          <w:rFonts w:hint="eastAsia"/>
          <w:bCs/>
          <w:szCs w:val="21"/>
        </w:rPr>
        <w:t>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1）具备履行民事责任能力的独立法人，注册资本金不低于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00万元；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2）具有履行合同所必需的设备和专业技术能力；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（3）具有良好的银行资信和商业信誉；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（4）参加招投标活动2年内没有相关违法或者违法嫌疑记录。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2024年2月29日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9700509"/>
      <w:bookmarkStart w:id="13" w:name="_Toc452641987"/>
      <w:bookmarkStart w:id="14" w:name="_Toc448839083"/>
      <w:bookmarkStart w:id="15" w:name="_Toc449619597"/>
      <w:bookmarkStart w:id="16" w:name="_Toc44961857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污泥项目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工程竣工结算服务</w:t>
      </w:r>
      <w:r>
        <w:rPr>
          <w:rFonts w:hint="eastAsia" w:ascii="宋体" w:hAnsi="宋体"/>
          <w:bCs/>
          <w:sz w:val="21"/>
          <w:szCs w:val="21"/>
        </w:rPr>
        <w:t>招标的投标资格。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12438F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link w:val="31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7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2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3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autoRedefine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2024-02-29T02:34:13Z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B39345F8062646768A7E09D683720C00_12</vt:lpwstr>
  </property>
</Properties>
</file>