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济南市污泥处置中心项目污泥抓斗起重机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ZB202404-HBZB03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（2）项目位置：济南市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污泥抓斗起重机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污泥抓斗起重机</w:t>
      </w:r>
      <w:r>
        <w:rPr>
          <w:rFonts w:hint="default" w:ascii="Times New Roman" w:hAnsi="Times New Roman" w:eastAsia="宋体" w:cs="Times New Roman"/>
          <w:sz w:val="24"/>
          <w:szCs w:val="24"/>
        </w:rPr>
        <w:t>2套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一用一备，冷备一台抓斗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3、供货设备信息：采用电动双梁桥式起重机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，2台抓斗起重机，1用1备；另冷备一台抓斗，抓斗的容积为6.3m</w:t>
      </w:r>
      <w:r>
        <w:rPr>
          <w:rFonts w:hint="eastAsia" w:hAnsi="宋体" w:eastAsia="宋体" w:cs="宋体"/>
          <w:bCs/>
          <w:sz w:val="24"/>
          <w:szCs w:val="24"/>
          <w:vertAlign w:val="superscript"/>
          <w:lang w:eastAsia="zh-CN"/>
        </w:rPr>
        <w:t>3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，抓斗采用两瓣式。</w:t>
      </w:r>
      <w:r>
        <w:rPr>
          <w:rFonts w:hint="eastAsia" w:ascii="宋体" w:hAnsi="宋体" w:eastAsia="宋体" w:cs="宋体"/>
          <w:bCs/>
          <w:sz w:val="24"/>
          <w:szCs w:val="24"/>
        </w:rPr>
        <w:t>详见附件技术协议。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4、招标范围说明：起重机的设计、制作、供货、运输、安装、调试及相关的技术培训、售后服务、取证等工作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（1）具备履行民事责任能力的独立法人，要求注册资本金不低于1500万元；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（2）投标人需为专业</w:t>
      </w:r>
      <w:r>
        <w:rPr>
          <w:rFonts w:hint="eastAsia" w:eastAsia="宋体" w:cs="宋体"/>
          <w:bCs/>
          <w:sz w:val="24"/>
          <w:szCs w:val="24"/>
          <w:lang w:eastAsia="zh-CN"/>
        </w:rPr>
        <w:t>抓斗起重机</w:t>
      </w:r>
      <w:r>
        <w:rPr>
          <w:rFonts w:hint="eastAsia" w:ascii="宋体" w:hAnsi="宋体" w:eastAsia="宋体" w:cs="宋体"/>
          <w:bCs/>
          <w:sz w:val="24"/>
          <w:szCs w:val="24"/>
        </w:rPr>
        <w:t>生产制造/供货厂家，具有根据招标人不同工况参数要求设计、制造/提供相应品质</w:t>
      </w:r>
      <w:r>
        <w:rPr>
          <w:rFonts w:hint="eastAsia" w:eastAsia="宋体" w:cs="宋体"/>
          <w:bCs/>
          <w:sz w:val="24"/>
          <w:szCs w:val="24"/>
          <w:lang w:eastAsia="zh-CN"/>
        </w:rPr>
        <w:t>抓斗起重机</w:t>
      </w:r>
      <w:r>
        <w:rPr>
          <w:rFonts w:hint="eastAsia" w:ascii="宋体" w:hAnsi="宋体" w:eastAsia="宋体" w:cs="宋体"/>
          <w:bCs/>
          <w:sz w:val="24"/>
          <w:szCs w:val="24"/>
        </w:rPr>
        <w:t>的能力；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（3）投标厂家若为代理商，所代理的品牌制造商需满足第二条所述条件，并同步提供原厂授权证明文件；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（3）投标人应具备同类、类似项目的供货服务经验；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（4）具有履行合同所必需的设备和专业技术能力；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（5）投标人愿意服从招标人对于招标项目内容的介入管理要求；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（6）具有良好的银行资信和商业信誉，近三年财务状况良好，无亏损；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（7）参加招投标活动2年内没有相关违法或者违法嫌疑记录。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9165"/>
      <w:bookmarkStart w:id="11" w:name="_Toc468782281"/>
      <w:bookmarkStart w:id="12" w:name="_Toc471478430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19597"/>
      <w:bookmarkStart w:id="15" w:name="_Toc449687366"/>
      <w:bookmarkStart w:id="16" w:name="_Toc449700509"/>
      <w:bookmarkStart w:id="17" w:name="_Toc449618573"/>
      <w:bookmarkStart w:id="18" w:name="_Toc448839083"/>
    </w:p>
    <w:p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济南市污泥处置中心项目污泥抓斗起重机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  <w:bookmarkStart w:id="21" w:name="_GoBack"/>
      <w:bookmarkEnd w:id="21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3">
    <w:name w:val="Body Text"/>
    <w:basedOn w:val="1"/>
    <w:next w:val="2"/>
    <w:autoRedefine/>
    <w:qFormat/>
    <w:uiPriority w:val="0"/>
    <w:pPr>
      <w:spacing w:line="460" w:lineRule="exact"/>
    </w:pPr>
    <w:rPr>
      <w:sz w:val="24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2024-04-18T02:47:47Z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B39345F8062646768A7E09D683720C00_12</vt:lpwstr>
  </property>
</Properties>
</file>