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某项目生产运行技术服务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2"/>
        <w:rPr>
          <w:rFonts w:hint="eastAsia"/>
        </w:rPr>
      </w:pPr>
      <w:bookmarkStart w:id="2" w:name="_Toc20859"/>
      <w:bookmarkStart w:id="3" w:name="_Toc452641986"/>
      <w:bookmarkStart w:id="4" w:name="_Toc452621175"/>
      <w:r>
        <w:rPr>
          <w:rFonts w:hint="eastAsia"/>
        </w:rPr>
        <w:t>第一章 招标公告</w:t>
      </w:r>
      <w:bookmarkEnd w:id="2"/>
    </w:p>
    <w:p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5" w:name="_Toc17112"/>
      <w:r>
        <w:rPr>
          <w:rFonts w:hint="eastAsia"/>
        </w:rPr>
        <w:t>一、招标编号：</w:t>
      </w:r>
      <w:bookmarkEnd w:id="5"/>
      <w:r>
        <w:rPr>
          <w:rFonts w:hint="eastAsia"/>
          <w:lang w:eastAsia="zh-CN"/>
        </w:rPr>
        <w:t>ZB202503-QZC01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3"/>
        <w:snapToGrid w:val="0"/>
        <w:spacing w:line="360" w:lineRule="auto"/>
      </w:pPr>
      <w:bookmarkStart w:id="6" w:name="_Toc8505"/>
      <w:r>
        <w:rPr>
          <w:rFonts w:hint="eastAsia"/>
        </w:rPr>
        <w:t>二、项目概况</w:t>
      </w:r>
      <w:bookmarkEnd w:id="6"/>
    </w:p>
    <w:p>
      <w:pPr>
        <w:shd w:val="clear" w:color="auto" w:fill="auto"/>
        <w:adjustRightInd w:val="0"/>
        <w:snapToGrid w:val="0"/>
        <w:spacing w:line="360" w:lineRule="auto"/>
        <w:ind w:firstLine="420" w:firstLineChars="200"/>
        <w:rPr>
          <w:rFonts w:hint="default" w:eastAsia="宋体"/>
          <w:bCs/>
          <w:szCs w:val="21"/>
          <w:highlight w:val="none"/>
          <w:lang w:val="en-US" w:eastAsia="zh-CN"/>
        </w:rPr>
      </w:pPr>
      <w:r>
        <w:rPr>
          <w:rFonts w:hint="eastAsia"/>
          <w:bCs/>
          <w:szCs w:val="21"/>
          <w:highlight w:val="none"/>
        </w:rPr>
        <w:t>项目全称：</w:t>
      </w:r>
      <w:r>
        <w:rPr>
          <w:rFonts w:hint="eastAsia"/>
          <w:bCs/>
          <w:szCs w:val="21"/>
          <w:highlight w:val="none"/>
          <w:lang w:val="en-US" w:eastAsia="zh-CN"/>
        </w:rPr>
        <w:t>某</w:t>
      </w:r>
      <w:r>
        <w:rPr>
          <w:rFonts w:hint="eastAsia"/>
          <w:szCs w:val="21"/>
          <w:highlight w:val="none"/>
          <w:lang w:val="zh-CN"/>
        </w:rPr>
        <w:t>项目车间生产运行服务</w:t>
      </w:r>
    </w:p>
    <w:p>
      <w:pPr>
        <w:pStyle w:val="3"/>
        <w:shd w:val="clear" w:color="auto" w:fill="auto"/>
        <w:snapToGrid w:val="0"/>
        <w:spacing w:line="360" w:lineRule="auto"/>
        <w:rPr>
          <w:rFonts w:hint="eastAsia"/>
          <w:highlight w:val="none"/>
          <w:lang w:eastAsia="zh-CN"/>
        </w:rPr>
      </w:pPr>
      <w:bookmarkStart w:id="7" w:name="_Toc22171"/>
      <w:r>
        <w:rPr>
          <w:rFonts w:hint="eastAsia"/>
          <w:highlight w:val="none"/>
        </w:rPr>
        <w:t>三、招标范围</w:t>
      </w:r>
      <w:bookmarkEnd w:id="7"/>
    </w:p>
    <w:p>
      <w:pPr>
        <w:spacing w:line="360" w:lineRule="auto"/>
        <w:rPr>
          <w:rFonts w:hint="default" w:ascii="宋体" w:hAnsi="宋体"/>
          <w:szCs w:val="21"/>
          <w:lang w:val="en-US"/>
        </w:rPr>
      </w:pPr>
      <w:bookmarkStart w:id="8" w:name="_Toc81619732"/>
      <w:r>
        <w:rPr>
          <w:rFonts w:hint="eastAsia"/>
          <w:bCs/>
          <w:szCs w:val="21"/>
        </w:rPr>
        <w:t>1、工程规模：</w:t>
      </w:r>
      <w:r>
        <w:rPr>
          <w:rFonts w:hint="default" w:eastAsia="宋体"/>
          <w:lang w:val="en-US" w:eastAsia="zh-CN"/>
        </w:rPr>
        <w:t>“热干化+焚烧”工艺，烟气处理系统采用“静电除尘器+活性炭消石灰喷射+布袋除尘器+湿法脱酸+烟烟换热器”的组合处理工艺</w:t>
      </w:r>
      <w:r>
        <w:rPr>
          <w:rFonts w:hint="eastAsia" w:eastAsia="宋体"/>
          <w:lang w:val="en-US" w:eastAsia="zh-CN"/>
        </w:rPr>
        <w:t>，</w:t>
      </w:r>
      <w:r>
        <w:rPr>
          <w:rFonts w:hint="default" w:eastAsia="宋体"/>
          <w:lang w:val="en-US" w:eastAsia="zh-CN"/>
        </w:rPr>
        <w:t>包含2条污泥干化线、2条污泥焚烧及烟气处理线</w:t>
      </w:r>
      <w:r>
        <w:rPr>
          <w:rFonts w:hint="eastAsia" w:eastAsia="宋体"/>
          <w:lang w:val="en-US" w:eastAsia="zh-CN"/>
        </w:rPr>
        <w:t>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</w:p>
    <w:p>
      <w:pPr>
        <w:spacing w:line="360" w:lineRule="auto"/>
        <w:ind w:firstLine="420" w:firstLineChars="200"/>
        <w:rPr>
          <w:rFonts w:hint="default" w:ascii="Times New Roman" w:hAnsi="Times New Roman"/>
          <w:bCs/>
          <w:szCs w:val="21"/>
          <w:lang w:val="en-US"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投标方的工作范围包括：</w:t>
      </w:r>
      <w:r>
        <w:rPr>
          <w:rFonts w:hint="eastAsia" w:ascii="Times New Roman" w:hAnsi="Times New Roman"/>
          <w:bCs/>
          <w:szCs w:val="21"/>
          <w:lang w:val="en-US" w:eastAsia="zh-CN"/>
        </w:rPr>
        <w:t>污泥离心脱水系统、污泥接收储运系统、污泥干化系统、污泥焚烧系统、余热利用系统、烟气处理系统、碱液储运系统、飞灰储运系统、压缩空气系统等主系统，以及焚烧炉进料系统、焚烧炉降温系统、脱硝系统、输砂系统、锅炉水处理系统、辅助锅炉系统、粉料投加系统等辅助系统的设备、仪表、阀门、管路的生产运行。此外，还包含烟囱、厂区2个水池，以及污泥车间红线内设备</w:t>
      </w:r>
      <w:r>
        <w:rPr>
          <w:rFonts w:hint="eastAsia" w:ascii="Times New Roman" w:hAnsi="Times New Roman"/>
          <w:bCs/>
          <w:szCs w:val="21"/>
          <w:lang w:eastAsia="zh-CN"/>
        </w:rPr>
        <w:t>的</w:t>
      </w:r>
      <w:r>
        <w:rPr>
          <w:rFonts w:hint="eastAsia" w:ascii="Times New Roman" w:hAnsi="Times New Roman"/>
          <w:bCs/>
          <w:szCs w:val="21"/>
          <w:lang w:val="en-US" w:eastAsia="zh-CN"/>
        </w:rPr>
        <w:t>操作、维修、保养、清理等工作</w:t>
      </w:r>
      <w:r>
        <w:rPr>
          <w:rFonts w:hint="eastAsia" w:ascii="Times New Roman" w:hAnsi="Times New Roman"/>
          <w:bCs/>
          <w:szCs w:val="21"/>
          <w:lang w:eastAsia="zh-CN"/>
        </w:rPr>
        <w:t>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</w:t>
      </w:r>
      <w:r>
        <w:rPr>
          <w:rFonts w:hint="eastAsia" w:ascii="Times New Roman" w:hAnsi="Times New Roman"/>
          <w:bCs/>
          <w:szCs w:val="21"/>
          <w:lang w:val="en-US" w:eastAsia="zh-CN"/>
        </w:rPr>
        <w:t>服务</w:t>
      </w:r>
      <w:r>
        <w:rPr>
          <w:rFonts w:ascii="Times New Roman" w:hAnsi="Times New Roman"/>
          <w:bCs/>
          <w:szCs w:val="21"/>
        </w:rPr>
        <w:t>清单：</w:t>
      </w:r>
    </w:p>
    <w:tbl>
      <w:tblPr>
        <w:tblStyle w:val="19"/>
        <w:tblpPr w:leftFromText="180" w:rightFromText="180" w:vertAnchor="text" w:tblpXSpec="center" w:tblpY="1"/>
        <w:tblOverlap w:val="never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技术要求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车间生产运行服务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详见技术规格书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</w:t>
      </w:r>
      <w:r>
        <w:rPr>
          <w:rFonts w:hint="eastAsia" w:ascii="Times New Roman" w:hAnsi="Times New Roman"/>
          <w:bCs/>
          <w:szCs w:val="21"/>
          <w:lang w:val="en-US" w:eastAsia="zh-CN"/>
        </w:rPr>
        <w:t>范围要求的</w:t>
      </w:r>
      <w:r>
        <w:rPr>
          <w:rFonts w:hint="eastAsia" w:ascii="Times New Roman" w:hAnsi="Times New Roman"/>
          <w:bCs/>
          <w:szCs w:val="21"/>
        </w:rPr>
        <w:t>服务</w:t>
      </w:r>
      <w:r>
        <w:rPr>
          <w:rFonts w:ascii="Times New Roman" w:hAnsi="Times New Roman"/>
          <w:bCs/>
          <w:szCs w:val="21"/>
        </w:rPr>
        <w:t>，同时也包括所有必要的</w:t>
      </w:r>
      <w:r>
        <w:rPr>
          <w:rFonts w:hint="eastAsia" w:ascii="Times New Roman" w:hAnsi="Times New Roman"/>
          <w:bCs/>
          <w:szCs w:val="21"/>
          <w:lang w:val="en-US" w:eastAsia="zh-CN"/>
        </w:rPr>
        <w:t>工作</w:t>
      </w:r>
      <w:r>
        <w:rPr>
          <w:rFonts w:ascii="Times New Roman" w:hAnsi="Times New Roman"/>
          <w:bCs/>
          <w:szCs w:val="21"/>
        </w:rPr>
        <w:t>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19737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9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val="en-US" w:eastAsia="zh-CN"/>
        </w:rPr>
        <w:t>按约定时间提供技术服务。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4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8</w:t>
      </w:r>
      <w:r>
        <w:rPr>
          <w:rFonts w:hint="eastAsia"/>
          <w:szCs w:val="21"/>
          <w:u w:val="none"/>
        </w:rPr>
        <w:t>日上午9时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</w:t>
      </w:r>
      <w:r>
        <w:rPr>
          <w:rFonts w:hint="eastAsia"/>
          <w:bCs/>
          <w:szCs w:val="21"/>
          <w:lang w:eastAsia="zh-CN"/>
        </w:rPr>
        <w:t>经济技术开发区永昌南路</w:t>
      </w:r>
      <w:r>
        <w:rPr>
          <w:rFonts w:hint="eastAsia"/>
          <w:bCs/>
          <w:szCs w:val="21"/>
          <w:lang w:val="en-US" w:eastAsia="zh-CN"/>
        </w:rPr>
        <w:t>5号--京城环保公司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</w:t>
      </w:r>
      <w:r>
        <w:rPr>
          <w:rFonts w:hint="eastAsia"/>
          <w:bCs/>
          <w:szCs w:val="21"/>
          <w:lang w:eastAsia="zh-CN"/>
        </w:rPr>
        <w:t>经济技术开发区永昌南路5号--京城环保公司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3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24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4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8"/>
    <w:p>
      <w:pPr>
        <w:pStyle w:val="3"/>
        <w:snapToGrid w:val="0"/>
        <w:spacing w:line="360" w:lineRule="auto"/>
        <w:rPr>
          <w:rFonts w:hint="eastAsia"/>
        </w:rPr>
      </w:pPr>
      <w:bookmarkStart w:id="10" w:name="_Toc19749"/>
      <w:r>
        <w:rPr>
          <w:rFonts w:hint="eastAsia"/>
        </w:rPr>
        <w:t>五、投标人资格要求</w:t>
      </w:r>
      <w:bookmarkEnd w:id="10"/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5000</w:t>
      </w:r>
      <w:r>
        <w:rPr>
          <w:rFonts w:hint="eastAsia" w:ascii="宋体" w:hAnsi="宋体"/>
          <w:bCs/>
          <w:sz w:val="21"/>
          <w:szCs w:val="21"/>
        </w:rPr>
        <w:t>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</w:t>
      </w:r>
      <w:r>
        <w:rPr>
          <w:rFonts w:hint="eastAsia" w:ascii="宋体" w:hAnsi="宋体"/>
          <w:bCs/>
          <w:szCs w:val="21"/>
          <w:lang w:val="en-US" w:eastAsia="zh-CN"/>
        </w:rPr>
        <w:t>运行或维保</w:t>
      </w:r>
      <w:r>
        <w:rPr>
          <w:rFonts w:hint="eastAsia" w:ascii="宋体" w:hAnsi="宋体"/>
          <w:bCs/>
          <w:szCs w:val="21"/>
        </w:rPr>
        <w:t>服务经验；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/>
          <w:bCs/>
          <w:sz w:val="21"/>
          <w:szCs w:val="21"/>
          <w:lang w:eastAsia="zh-CN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</w:t>
      </w:r>
      <w:r>
        <w:rPr>
          <w:rFonts w:hint="eastAsia" w:ascii="宋体" w:hAnsi="宋体"/>
          <w:bCs/>
          <w:sz w:val="21"/>
          <w:szCs w:val="21"/>
          <w:lang w:eastAsia="zh-CN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</w:pPr>
      <w:r>
        <w:rPr>
          <w:rFonts w:hint="eastAsia" w:ascii="宋体" w:hAnsi="宋体"/>
          <w:bCs/>
          <w:sz w:val="21"/>
          <w:szCs w:val="21"/>
          <w:lang w:eastAsia="zh-CN"/>
        </w:rPr>
        <w:t>（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bCs/>
          <w:sz w:val="21"/>
          <w:szCs w:val="21"/>
          <w:lang w:eastAsia="zh-CN"/>
        </w:rPr>
        <w:t>）工商行政管理机关在全国企业信用信息公示系统中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未</w:t>
      </w:r>
      <w:r>
        <w:rPr>
          <w:rFonts w:hint="eastAsia" w:ascii="宋体" w:hAnsi="宋体"/>
          <w:bCs/>
          <w:sz w:val="21"/>
          <w:szCs w:val="21"/>
          <w:lang w:eastAsia="zh-CN"/>
        </w:rPr>
        <w:t>列入严重违法失信企业名单；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Times New Roman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bCs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eastAsia="zh-CN"/>
        </w:rPr>
        <w:t>投标人具备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环保工程专业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承包叁级</w:t>
      </w:r>
      <w:r>
        <w:rPr>
          <w:rFonts w:hint="eastAsia"/>
          <w:sz w:val="21"/>
          <w:szCs w:val="21"/>
          <w:lang w:val="en-US" w:eastAsia="zh-CN"/>
        </w:rPr>
        <w:t>或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市政公用工程施工总承包叁级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以及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安全生产许可证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7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5"/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5"/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5"/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val="en-US" w:eastAsia="zh-CN"/>
        </w:rPr>
        <w:t>近五年有类似运维或维护1个业绩合同或者证明文件的复印件；</w:t>
      </w:r>
    </w:p>
    <w:p>
      <w:pPr>
        <w:pStyle w:val="15"/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5"/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5"/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5"/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1" w:name="_Toc27675"/>
      <w:r>
        <w:rPr>
          <w:rFonts w:hint="eastAsia"/>
        </w:rPr>
        <w:t>六、投标费用</w:t>
      </w:r>
      <w:bookmarkEnd w:id="11"/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</w:t>
      </w:r>
      <w:bookmarkStart w:id="12" w:name="_Toc3758"/>
      <w:bookmarkStart w:id="13" w:name="_Toc5334"/>
      <w:bookmarkStart w:id="14" w:name="_Toc9805"/>
      <w:r>
        <w:rPr>
          <w:rFonts w:hint="eastAsia"/>
          <w:b w:val="0"/>
          <w:sz w:val="21"/>
          <w:szCs w:val="21"/>
          <w:lang w:val="en-US" w:eastAsia="zh-CN"/>
        </w:rPr>
        <w:t>2025年3月25</w:t>
      </w:r>
      <w:bookmarkStart w:id="22" w:name="_GoBack"/>
      <w:bookmarkEnd w:id="22"/>
      <w:r>
        <w:rPr>
          <w:rFonts w:hint="eastAsia"/>
          <w:b w:val="0"/>
          <w:sz w:val="21"/>
          <w:szCs w:val="21"/>
          <w:lang w:val="en-US" w:eastAsia="zh-CN"/>
        </w:rPr>
        <w:t>日</w:t>
      </w:r>
      <w:bookmarkEnd w:id="12"/>
      <w:bookmarkEnd w:id="13"/>
      <w:bookmarkEnd w:id="14"/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5" w:name="_Toc449619597"/>
      <w:bookmarkStart w:id="16" w:name="_Toc449700509"/>
      <w:bookmarkStart w:id="17" w:name="_Toc449687366"/>
      <w:bookmarkStart w:id="18" w:name="_Toc448839083"/>
      <w:bookmarkStart w:id="19" w:name="_Toc449618573"/>
      <w:bookmarkStart w:id="20" w:name="_Toc8449"/>
      <w:r>
        <w:rPr>
          <w:rFonts w:hint="eastAsia"/>
        </w:rPr>
        <w:t>第二章 投标申请函</w:t>
      </w:r>
      <w:bookmarkEnd w:id="3"/>
      <w:bookmarkEnd w:id="4"/>
      <w:bookmarkEnd w:id="15"/>
      <w:bookmarkEnd w:id="16"/>
      <w:bookmarkEnd w:id="17"/>
      <w:bookmarkEnd w:id="18"/>
      <w:bookmarkEnd w:id="19"/>
      <w:bookmarkEnd w:id="20"/>
    </w:p>
    <w:p/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黑体" w:hAnsi="黑体" w:eastAsia="黑体" w:cs="黑体"/>
          <w:bCs/>
          <w:sz w:val="21"/>
          <w:szCs w:val="21"/>
          <w:u w:val="single"/>
          <w:lang w:val="en-US" w:eastAsia="zh-CN"/>
        </w:rPr>
        <w:t>某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车间生产运行服务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6634F3"/>
    <w:multiLevelType w:val="singleLevel"/>
    <w:tmpl w:val="456634F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C401AA9"/>
    <w:rsid w:val="1D6578F6"/>
    <w:rsid w:val="1EE319AE"/>
    <w:rsid w:val="1FF64942"/>
    <w:rsid w:val="20D62011"/>
    <w:rsid w:val="22AD246B"/>
    <w:rsid w:val="267C598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B0426F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1"/>
    <w:next w:val="1"/>
    <w:link w:val="25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line="460" w:lineRule="exact"/>
    </w:pPr>
    <w:rPr>
      <w:sz w:val="24"/>
    </w:rPr>
  </w:style>
  <w:style w:type="paragraph" w:styleId="6">
    <w:name w:val="Body Text First Indent"/>
    <w:basedOn w:val="5"/>
    <w:next w:val="1"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7">
    <w:name w:val="Body Text Indent"/>
    <w:basedOn w:val="1"/>
    <w:next w:val="8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9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unhideWhenUsed/>
    <w:qFormat/>
    <w:uiPriority w:val="39"/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4"/>
    <w:next w:val="4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0"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2371</Words>
  <Characters>2492</Characters>
  <Lines>20</Lines>
  <Paragraphs>5</Paragraphs>
  <TotalTime>1</TotalTime>
  <ScaleCrop>false</ScaleCrop>
  <LinksUpToDate>false</LinksUpToDate>
  <CharactersWithSpaces>2636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于江坤</cp:lastModifiedBy>
  <dcterms:modified xsi:type="dcterms:W3CDTF">2025-03-25T03:30:32Z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B39345F8062646768A7E09D683720C00_12</vt:lpwstr>
  </property>
  <property fmtid="{D5CDD505-2E9C-101B-9397-08002B2CF9AE}" pid="4" name="KSOTemplateDocerSaveRecord">
    <vt:lpwstr>eyJoZGlkIjoiNjljMWFkMjAyYjMzYjk2NmVmMDhhZmUwNWIwZDQ1MDYiLCJ1c2VySWQiOiIzMzY3NjM2OTAifQ==</vt:lpwstr>
  </property>
</Properties>
</file>