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D27F">
      <w:pPr>
        <w:pStyle w:val="2"/>
        <w:spacing w:line="360" w:lineRule="auto"/>
        <w:rPr>
          <w:rFonts w:hint="default" w:ascii="宋体" w:hAnsi="宋体" w:eastAsia="宋体" w:cs="宋体"/>
          <w:b/>
          <w:bCs w:val="0"/>
          <w:color w:val="auto"/>
          <w:sz w:val="32"/>
          <w:szCs w:val="32"/>
          <w:highlight w:val="none"/>
          <w:u w:val="none"/>
          <w:shd w:val="clear" w:color="auto" w:fill="auto"/>
          <w:lang w:val="en-US" w:eastAsia="zh-CN"/>
        </w:rPr>
      </w:pPr>
      <w:bookmarkStart w:id="0" w:name="_Toc452621175"/>
      <w:bookmarkStart w:id="1" w:name="_Toc11217"/>
      <w:bookmarkStart w:id="2" w:name="_Toc25582"/>
      <w:bookmarkStart w:id="3" w:name="_Toc18114"/>
      <w:bookmarkStart w:id="4" w:name="_Toc14625"/>
      <w:bookmarkStart w:id="5" w:name="_Toc32651"/>
      <w:bookmarkStart w:id="6" w:name="_Toc31492"/>
      <w:bookmarkStart w:id="7" w:name="_Toc31483"/>
      <w:bookmarkStart w:id="8" w:name="_Toc30415"/>
      <w:bookmarkStart w:id="9" w:name="_Toc12655"/>
      <w:bookmarkStart w:id="10" w:name="_Toc30397"/>
      <w:bookmarkStart w:id="11" w:name="_Toc11383"/>
      <w:bookmarkStart w:id="12" w:name="_Toc1861"/>
      <w:bookmarkStart w:id="13" w:name="_Toc11978"/>
      <w:bookmarkStart w:id="14" w:name="_Toc452641986"/>
      <w:bookmarkStart w:id="15" w:name="_Toc26448"/>
      <w:bookmarkStart w:id="16" w:name="_Toc25505"/>
      <w:bookmarkStart w:id="17" w:name="_Toc30715"/>
      <w:bookmarkStart w:id="18" w:name="_Toc24242"/>
      <w:bookmarkStart w:id="19" w:name="_Toc22425"/>
      <w:r>
        <w:rPr>
          <w:rFonts w:hint="eastAsia" w:hAnsi="宋体" w:cs="宋体"/>
          <w:b/>
          <w:bCs w:val="0"/>
          <w:color w:val="auto"/>
          <w:sz w:val="32"/>
          <w:szCs w:val="32"/>
          <w:highlight w:val="none"/>
          <w:u w:val="none"/>
          <w:shd w:val="clear" w:color="auto" w:fill="auto"/>
          <w:lang w:val="en-US" w:eastAsia="zh-CN"/>
        </w:rPr>
        <w:t>北京市通州区有机质资源生态处理站设备更新项目焊接加工件公开竞争采购文件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ECCD88B">
      <w:pPr>
        <w:pStyle w:val="2"/>
        <w:numPr>
          <w:ilvl w:val="0"/>
          <w:numId w:val="1"/>
        </w:numPr>
        <w:rPr>
          <w:rFonts w:hint="eastAsia" w:hAnsi="宋体" w:cs="宋体"/>
          <w:sz w:val="24"/>
          <w:szCs w:val="24"/>
        </w:rPr>
      </w:pPr>
      <w:r>
        <w:rPr>
          <w:rFonts w:hint="eastAsia" w:hAnsi="宋体" w:cs="宋体"/>
          <w:sz w:val="24"/>
          <w:szCs w:val="24"/>
        </w:rPr>
        <w:t>公开竞争采购公告</w:t>
      </w:r>
    </w:p>
    <w:p w14:paraId="76F89664">
      <w:pPr>
        <w:rPr>
          <w:rFonts w:hint="eastAsia" w:hAnsi="宋体" w:cs="宋体"/>
          <w:sz w:val="24"/>
          <w:szCs w:val="24"/>
          <w:lang w:val="zh-CN"/>
        </w:rPr>
      </w:pPr>
    </w:p>
    <w:p w14:paraId="687D1A6E">
      <w:pPr>
        <w:pStyle w:val="3"/>
        <w:numPr>
          <w:ilvl w:val="0"/>
          <w:numId w:val="2"/>
        </w:numPr>
        <w:snapToGrid w:val="0"/>
        <w:spacing w:line="360" w:lineRule="auto"/>
        <w:rPr>
          <w:rFonts w:hint="eastAsia" w:hAnsi="宋体" w:cs="宋体"/>
          <w:szCs w:val="24"/>
        </w:rPr>
      </w:pPr>
      <w:bookmarkStart w:id="20" w:name="_Toc527364899"/>
      <w:r>
        <w:rPr>
          <w:rFonts w:hint="eastAsia" w:hAnsi="宋体" w:cs="宋体"/>
          <w:szCs w:val="24"/>
          <w:lang w:eastAsia="zh-CN"/>
        </w:rPr>
        <w:t>公开竞争采购编号</w:t>
      </w:r>
      <w:r>
        <w:rPr>
          <w:rFonts w:hint="eastAsia" w:hAnsi="宋体" w:cs="宋体"/>
          <w:szCs w:val="24"/>
        </w:rPr>
        <w:t>：</w:t>
      </w:r>
      <w:bookmarkEnd w:id="20"/>
    </w:p>
    <w:p w14:paraId="18BC3420">
      <w:pPr>
        <w:pStyle w:val="3"/>
        <w:snapToGrid w:val="0"/>
        <w:spacing w:line="360" w:lineRule="auto"/>
        <w:rPr>
          <w:rFonts w:hint="default" w:hAnsi="宋体" w:eastAsia="宋体" w:cs="宋体"/>
          <w:szCs w:val="24"/>
          <w:lang w:val="en-US" w:eastAsia="zh-CN"/>
        </w:rPr>
      </w:pPr>
      <w:bookmarkStart w:id="21" w:name="_Toc527364900"/>
      <w:r>
        <w:rPr>
          <w:rFonts w:hint="eastAsia" w:hAnsi="宋体" w:cs="宋体"/>
          <w:b w:val="0"/>
          <w:bCs/>
          <w:szCs w:val="24"/>
          <w:lang w:eastAsia="zh-CN"/>
        </w:rPr>
        <w:t>GKJZCG20251</w:t>
      </w:r>
      <w:r>
        <w:rPr>
          <w:rFonts w:hint="eastAsia" w:hAnsi="宋体" w:cs="宋体"/>
          <w:b w:val="0"/>
          <w:bCs/>
          <w:szCs w:val="24"/>
          <w:lang w:val="en-US" w:eastAsia="zh-CN"/>
        </w:rPr>
        <w:t>2-HB01</w:t>
      </w:r>
    </w:p>
    <w:p w14:paraId="08511F5B">
      <w:pPr>
        <w:pStyle w:val="3"/>
        <w:snapToGrid w:val="0"/>
        <w:spacing w:line="360" w:lineRule="auto"/>
        <w:rPr>
          <w:rFonts w:hint="eastAsia" w:hAnsi="宋体" w:cs="宋体"/>
          <w:szCs w:val="24"/>
        </w:rPr>
      </w:pPr>
      <w:r>
        <w:rPr>
          <w:rFonts w:hint="eastAsia" w:hAnsi="宋体" w:cs="宋体"/>
          <w:szCs w:val="24"/>
        </w:rPr>
        <w:t>二、项目概况</w:t>
      </w:r>
      <w:bookmarkEnd w:id="21"/>
    </w:p>
    <w:p w14:paraId="335273F0">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（1）项目全称：</w:t>
      </w:r>
      <w:r>
        <w:rPr>
          <w:rFonts w:hint="eastAsia" w:hAnsi="宋体" w:cs="宋体"/>
          <w:bCs/>
          <w:sz w:val="24"/>
          <w:szCs w:val="24"/>
          <w:lang w:val="en-US" w:eastAsia="zh-CN"/>
        </w:rPr>
        <w:t>北京市通州区有机质资源生态处理站设备更新项目</w:t>
      </w:r>
      <w:r>
        <w:rPr>
          <w:rFonts w:hint="eastAsia" w:hAnsi="宋体" w:cs="宋体"/>
          <w:bCs/>
          <w:sz w:val="24"/>
          <w:szCs w:val="24"/>
          <w:lang w:eastAsia="zh-CN"/>
        </w:rPr>
        <w:t>。</w:t>
      </w:r>
    </w:p>
    <w:p w14:paraId="0AC694FD">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（2）项目位置：北京</w:t>
      </w:r>
      <w:r>
        <w:rPr>
          <w:rFonts w:hint="eastAsia" w:hAnsi="宋体" w:cs="宋体"/>
          <w:bCs/>
          <w:sz w:val="24"/>
          <w:szCs w:val="24"/>
          <w:lang w:val="en-US" w:eastAsia="zh-CN"/>
        </w:rPr>
        <w:t>施工现场</w:t>
      </w:r>
      <w:r>
        <w:rPr>
          <w:rFonts w:hint="eastAsia" w:hAnsi="宋体" w:cs="宋体"/>
          <w:bCs/>
          <w:sz w:val="24"/>
          <w:szCs w:val="24"/>
          <w:lang w:eastAsia="zh-CN"/>
        </w:rPr>
        <w:t>。</w:t>
      </w:r>
    </w:p>
    <w:p w14:paraId="1B2DEC48">
      <w:pPr>
        <w:pStyle w:val="3"/>
        <w:snapToGrid w:val="0"/>
        <w:spacing w:line="360" w:lineRule="auto"/>
        <w:rPr>
          <w:rFonts w:hint="eastAsia" w:hAnsi="宋体" w:cs="宋体"/>
          <w:szCs w:val="24"/>
          <w:lang w:eastAsia="zh-CN"/>
        </w:rPr>
      </w:pPr>
      <w:bookmarkStart w:id="22" w:name="_Toc527364901"/>
      <w:r>
        <w:rPr>
          <w:rFonts w:hint="eastAsia" w:hAnsi="宋体" w:cs="宋体"/>
          <w:szCs w:val="24"/>
        </w:rPr>
        <w:t>三、</w:t>
      </w:r>
      <w:bookmarkEnd w:id="22"/>
      <w:r>
        <w:rPr>
          <w:rFonts w:hint="eastAsia" w:hAnsi="宋体" w:cs="宋体"/>
          <w:szCs w:val="24"/>
          <w:lang w:eastAsia="zh-CN"/>
        </w:rPr>
        <w:t>公开竞争采购范围</w:t>
      </w:r>
    </w:p>
    <w:p w14:paraId="0B13F4D4">
      <w:pPr>
        <w:numPr>
          <w:ilvl w:val="0"/>
          <w:numId w:val="0"/>
        </w:numPr>
        <w:spacing w:line="360" w:lineRule="auto"/>
        <w:rPr>
          <w:rFonts w:hint="eastAsia" w:hAnsi="宋体" w:cs="宋体"/>
          <w:bCs/>
          <w:sz w:val="24"/>
          <w:szCs w:val="24"/>
        </w:rPr>
      </w:pPr>
      <w:bookmarkStart w:id="23" w:name="_Toc81619732"/>
      <w:r>
        <w:rPr>
          <w:rFonts w:hint="eastAsia" w:hAnsi="宋体" w:cs="宋体"/>
          <w:bCs/>
          <w:sz w:val="24"/>
          <w:szCs w:val="24"/>
          <w:lang w:val="en-US" w:eastAsia="zh-CN" w:bidi="ar-SA"/>
        </w:rPr>
        <w:t>1</w:t>
      </w:r>
      <w:r>
        <w:rPr>
          <w:rFonts w:hint="eastAsia" w:ascii="宋体" w:hAnsi="宋体" w:cs="宋体"/>
          <w:bCs/>
          <w:sz w:val="24"/>
          <w:szCs w:val="24"/>
          <w:lang w:val="en-US" w:eastAsia="zh-CN" w:bidi="ar-SA"/>
        </w:rPr>
        <w:t>、</w:t>
      </w:r>
      <w:r>
        <w:rPr>
          <w:rFonts w:hint="eastAsia" w:hAnsi="宋体" w:cs="宋体"/>
          <w:bCs/>
          <w:sz w:val="24"/>
          <w:szCs w:val="24"/>
        </w:rPr>
        <w:t>公开竞争采购范围：</w:t>
      </w:r>
      <w:r>
        <w:rPr>
          <w:rFonts w:hint="eastAsia" w:hAnsi="宋体" w:cs="宋体"/>
          <w:bCs/>
          <w:sz w:val="24"/>
          <w:szCs w:val="24"/>
          <w:lang w:val="en-US" w:eastAsia="zh-CN"/>
        </w:rPr>
        <w:t>按图纸及技术要求加工。</w:t>
      </w:r>
    </w:p>
    <w:p w14:paraId="1E7534A2">
      <w:pPr>
        <w:spacing w:line="360" w:lineRule="auto"/>
        <w:rPr>
          <w:rFonts w:hint="eastAsia" w:hAnsi="宋体" w:cs="宋体"/>
          <w:bCs/>
          <w:sz w:val="24"/>
          <w:szCs w:val="24"/>
        </w:rPr>
      </w:pPr>
      <w:r>
        <w:rPr>
          <w:rFonts w:hint="eastAsia" w:hAnsi="宋体" w:cs="宋体"/>
          <w:bCs/>
          <w:sz w:val="24"/>
          <w:szCs w:val="24"/>
          <w:lang w:val="en-US" w:eastAsia="zh-CN"/>
        </w:rPr>
        <w:t>2</w:t>
      </w:r>
      <w:r>
        <w:rPr>
          <w:rFonts w:hint="eastAsia" w:hAnsi="宋体" w:cs="宋体"/>
          <w:bCs/>
          <w:sz w:val="24"/>
          <w:szCs w:val="24"/>
        </w:rPr>
        <w:t>、供货设备信息：详见附件</w:t>
      </w:r>
      <w:r>
        <w:rPr>
          <w:rFonts w:hint="eastAsia" w:hAnsi="宋体" w:cs="宋体"/>
          <w:bCs/>
          <w:sz w:val="24"/>
          <w:szCs w:val="24"/>
          <w:lang w:val="en-US" w:eastAsia="zh-CN"/>
        </w:rPr>
        <w:t>技术要求</w:t>
      </w:r>
      <w:r>
        <w:rPr>
          <w:rFonts w:hint="eastAsia" w:hAnsi="宋体" w:cs="宋体"/>
          <w:bCs/>
          <w:sz w:val="24"/>
          <w:szCs w:val="24"/>
        </w:rPr>
        <w:t>。</w:t>
      </w:r>
    </w:p>
    <w:p w14:paraId="01C69666">
      <w:pPr>
        <w:pStyle w:val="3"/>
        <w:snapToGrid w:val="0"/>
        <w:spacing w:line="360" w:lineRule="auto"/>
        <w:rPr>
          <w:rFonts w:hint="eastAsia" w:hAnsi="宋体" w:cs="宋体"/>
          <w:szCs w:val="24"/>
        </w:rPr>
      </w:pPr>
      <w:bookmarkStart w:id="24" w:name="_Toc527364902"/>
      <w:r>
        <w:rPr>
          <w:rFonts w:hint="eastAsia" w:hAnsi="宋体" w:cs="宋体"/>
          <w:szCs w:val="24"/>
        </w:rPr>
        <w:t>四、</w:t>
      </w:r>
      <w:r>
        <w:rPr>
          <w:rFonts w:hint="eastAsia" w:hAnsi="宋体" w:cs="宋体"/>
          <w:b/>
          <w:szCs w:val="24"/>
        </w:rPr>
        <w:t>公开竞争采购</w:t>
      </w:r>
      <w:r>
        <w:rPr>
          <w:rFonts w:hint="eastAsia" w:hAnsi="宋体" w:cs="宋体"/>
          <w:szCs w:val="24"/>
        </w:rPr>
        <w:t>须知</w:t>
      </w:r>
      <w:bookmarkEnd w:id="24"/>
    </w:p>
    <w:bookmarkEnd w:id="23"/>
    <w:p w14:paraId="7941CC46">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1、公开竞争采购方式：国内公开竞争采购。</w:t>
      </w:r>
    </w:p>
    <w:p w14:paraId="714622C4">
      <w:pPr>
        <w:tabs>
          <w:tab w:val="left" w:pos="426"/>
        </w:tabs>
        <w:adjustRightInd w:val="0"/>
        <w:snapToGrid w:val="0"/>
        <w:spacing w:line="360" w:lineRule="auto"/>
        <w:ind w:left="420"/>
        <w:rPr>
          <w:rFonts w:hint="eastAsia" w:hAnsi="宋体" w:eastAsia="宋体" w:cs="宋体"/>
          <w:bCs/>
          <w:sz w:val="24"/>
          <w:szCs w:val="24"/>
          <w:lang w:eastAsia="zh-CN"/>
        </w:rPr>
      </w:pPr>
      <w:r>
        <w:rPr>
          <w:rFonts w:hint="eastAsia" w:hAnsi="宋体" w:cs="宋体"/>
          <w:bCs/>
          <w:sz w:val="24"/>
          <w:szCs w:val="24"/>
        </w:rPr>
        <w:t>2、采购方名称：</w:t>
      </w:r>
      <w:r>
        <w:rPr>
          <w:rFonts w:hint="eastAsia" w:hAnsi="宋体" w:cs="宋体"/>
          <w:bCs/>
          <w:sz w:val="24"/>
          <w:szCs w:val="24"/>
          <w:lang w:eastAsia="zh-CN"/>
        </w:rPr>
        <w:t>北京京城环保股份有限公司</w:t>
      </w:r>
    </w:p>
    <w:p w14:paraId="5239896F">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3、公开竞争采购联系人及联系方式：郭亮 15001010916，</w:t>
      </w:r>
      <w:r>
        <w:rPr>
          <w:rFonts w:hint="eastAsia" w:hAnsi="宋体" w:cs="宋体"/>
          <w:bCs/>
          <w:sz w:val="24"/>
          <w:szCs w:val="24"/>
          <w:lang w:eastAsia="zh-CN"/>
        </w:rPr>
        <w:t>guoliang@bmei.com</w:t>
      </w:r>
      <w:r>
        <w:rPr>
          <w:rFonts w:hint="eastAsia" w:hAnsi="宋体" w:cs="宋体"/>
          <w:bCs/>
          <w:sz w:val="24"/>
          <w:szCs w:val="24"/>
        </w:rPr>
        <w:t>。</w:t>
      </w:r>
    </w:p>
    <w:p w14:paraId="3756367C">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 xml:space="preserve">4、交货时间： </w:t>
      </w:r>
      <w:r>
        <w:rPr>
          <w:rFonts w:hint="eastAsia" w:hAnsi="宋体" w:cs="宋体"/>
          <w:bCs/>
          <w:sz w:val="24"/>
          <w:szCs w:val="24"/>
          <w:lang w:val="en-US" w:eastAsia="zh-CN"/>
        </w:rPr>
        <w:t>2026</w:t>
      </w:r>
      <w:bookmarkStart w:id="34" w:name="_GoBack"/>
      <w:bookmarkEnd w:id="34"/>
      <w:r>
        <w:rPr>
          <w:rFonts w:hint="eastAsia" w:hAnsi="宋体" w:cs="宋体"/>
          <w:bCs/>
          <w:sz w:val="24"/>
          <w:szCs w:val="24"/>
          <w:lang w:val="en-US" w:eastAsia="zh-CN"/>
        </w:rPr>
        <w:t>年03月15日</w:t>
      </w:r>
      <w:r>
        <w:rPr>
          <w:rFonts w:hint="eastAsia" w:hAnsi="宋体" w:cs="宋体"/>
          <w:bCs/>
          <w:sz w:val="24"/>
          <w:szCs w:val="24"/>
        </w:rPr>
        <w:t>（预计）</w:t>
      </w:r>
    </w:p>
    <w:p w14:paraId="530C465D">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5、具体技术要求：按照公开竞争采购文件要求。</w:t>
      </w:r>
    </w:p>
    <w:p w14:paraId="5B21B676">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6、</w:t>
      </w:r>
      <w:r>
        <w:rPr>
          <w:rFonts w:hint="eastAsia" w:hAnsi="宋体" w:cs="宋体"/>
          <w:bCs/>
          <w:sz w:val="24"/>
          <w:szCs w:val="24"/>
          <w:lang w:eastAsia="zh-CN"/>
        </w:rPr>
        <w:t>公开竞争评审</w:t>
      </w:r>
      <w:r>
        <w:rPr>
          <w:rFonts w:hint="eastAsia" w:hAnsi="宋体" w:cs="宋体"/>
          <w:bCs/>
          <w:sz w:val="24"/>
          <w:szCs w:val="24"/>
        </w:rPr>
        <w:t>方法：综合评价法。</w:t>
      </w:r>
    </w:p>
    <w:p w14:paraId="5E269CCD">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7、响应文件开启时间</w:t>
      </w:r>
      <w:r>
        <w:rPr>
          <w:rFonts w:hint="eastAsia" w:hAnsi="宋体" w:eastAsia="宋体" w:cs="宋体"/>
          <w:bCs/>
          <w:sz w:val="24"/>
          <w:szCs w:val="24"/>
        </w:rPr>
        <w:t>：</w:t>
      </w:r>
      <w:r>
        <w:rPr>
          <w:rFonts w:hint="eastAsia" w:hAnsi="宋体" w:cs="宋体"/>
          <w:sz w:val="21"/>
          <w:szCs w:val="21"/>
        </w:rPr>
        <w:t>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1</w:t>
      </w:r>
      <w:r>
        <w:rPr>
          <w:rFonts w:hint="eastAsia" w:hAnsi="宋体" w:cs="宋体"/>
          <w:sz w:val="21"/>
          <w:szCs w:val="21"/>
        </w:rPr>
        <w:t>月</w:t>
      </w:r>
      <w:r>
        <w:rPr>
          <w:rFonts w:hint="eastAsia" w:hAnsi="宋体" w:cs="宋体"/>
          <w:sz w:val="21"/>
          <w:szCs w:val="21"/>
          <w:lang w:val="en-US" w:eastAsia="zh-CN"/>
        </w:rPr>
        <w:t>13</w:t>
      </w:r>
      <w:r>
        <w:rPr>
          <w:rFonts w:hint="eastAsia" w:hAnsi="宋体" w:cs="宋体"/>
          <w:sz w:val="21"/>
          <w:szCs w:val="21"/>
        </w:rPr>
        <w:t>日</w:t>
      </w:r>
      <w:r>
        <w:rPr>
          <w:rFonts w:hint="eastAsia" w:hAnsi="宋体" w:cs="宋体"/>
          <w:sz w:val="21"/>
          <w:szCs w:val="21"/>
          <w:lang w:val="en-US" w:eastAsia="zh-CN"/>
        </w:rPr>
        <w:t>上午9</w:t>
      </w:r>
      <w:r>
        <w:rPr>
          <w:rFonts w:hint="eastAsia" w:hAnsi="宋体" w:cs="宋体"/>
          <w:sz w:val="21"/>
          <w:szCs w:val="21"/>
        </w:rPr>
        <w:t>点（北京时间）</w:t>
      </w:r>
    </w:p>
    <w:p w14:paraId="6DEA8271">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8、响应文件开启地点：</w:t>
      </w:r>
      <w:r>
        <w:rPr>
          <w:rFonts w:hint="eastAsia" w:hAnsi="宋体" w:cs="宋体"/>
          <w:sz w:val="24"/>
          <w:szCs w:val="24"/>
        </w:rPr>
        <w:t>北京经济技术开发区永昌南路5号亦庄办公区三楼北</w:t>
      </w:r>
      <w:r>
        <w:rPr>
          <w:rFonts w:hint="eastAsia" w:hAnsi="宋体" w:cs="宋体"/>
          <w:bCs/>
          <w:sz w:val="24"/>
          <w:szCs w:val="24"/>
        </w:rPr>
        <w:t>。</w:t>
      </w:r>
    </w:p>
    <w:p w14:paraId="0E86BDA5">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9、公开竞争采购联系人地点：</w:t>
      </w:r>
      <w:r>
        <w:rPr>
          <w:rFonts w:hint="eastAsia" w:hAnsi="宋体" w:cs="宋体"/>
          <w:sz w:val="24"/>
          <w:szCs w:val="24"/>
        </w:rPr>
        <w:t>北京经济技术开发区永昌南路5号亦庄办公区</w:t>
      </w:r>
      <w:r>
        <w:rPr>
          <w:rFonts w:hint="eastAsia" w:hAnsi="宋体" w:cs="宋体"/>
          <w:bCs/>
          <w:sz w:val="24"/>
          <w:szCs w:val="24"/>
        </w:rPr>
        <w:t>。</w:t>
      </w:r>
    </w:p>
    <w:p w14:paraId="66BFB569">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10、公开竞争采购文件发售时间：2025年</w:t>
      </w:r>
      <w:r>
        <w:rPr>
          <w:rFonts w:hint="eastAsia" w:hAnsi="宋体" w:cs="宋体"/>
          <w:bCs/>
          <w:sz w:val="24"/>
          <w:szCs w:val="24"/>
          <w:lang w:val="en-US" w:eastAsia="zh-CN"/>
        </w:rPr>
        <w:t>12</w:t>
      </w:r>
      <w:r>
        <w:rPr>
          <w:rFonts w:hint="eastAsia" w:hAnsi="宋体" w:cs="宋体"/>
          <w:bCs/>
          <w:sz w:val="24"/>
          <w:szCs w:val="24"/>
        </w:rPr>
        <w:t>月</w:t>
      </w:r>
      <w:r>
        <w:rPr>
          <w:rFonts w:hint="eastAsia" w:hAnsi="宋体" w:cs="宋体"/>
          <w:bCs/>
          <w:sz w:val="24"/>
          <w:szCs w:val="24"/>
          <w:lang w:val="en-US" w:eastAsia="zh-CN"/>
        </w:rPr>
        <w:t>25</w:t>
      </w:r>
      <w:r>
        <w:rPr>
          <w:rFonts w:hint="eastAsia" w:hAnsi="宋体" w:cs="宋体"/>
          <w:bCs/>
          <w:sz w:val="24"/>
          <w:szCs w:val="24"/>
        </w:rPr>
        <w:t>日～202</w:t>
      </w:r>
      <w:r>
        <w:rPr>
          <w:rFonts w:hint="eastAsia" w:hAnsi="宋体" w:cs="宋体"/>
          <w:bCs/>
          <w:sz w:val="24"/>
          <w:szCs w:val="24"/>
          <w:lang w:val="en-US" w:eastAsia="zh-CN"/>
        </w:rPr>
        <w:t>6</w:t>
      </w:r>
      <w:r>
        <w:rPr>
          <w:rFonts w:hint="eastAsia" w:hAnsi="宋体" w:cs="宋体"/>
          <w:bCs/>
          <w:sz w:val="24"/>
          <w:szCs w:val="24"/>
        </w:rPr>
        <w:t>年</w:t>
      </w:r>
      <w:r>
        <w:rPr>
          <w:rFonts w:hint="eastAsia" w:hAnsi="宋体" w:cs="宋体"/>
          <w:bCs/>
          <w:sz w:val="24"/>
          <w:szCs w:val="24"/>
          <w:lang w:val="en-US" w:eastAsia="zh-CN"/>
        </w:rPr>
        <w:t>1</w:t>
      </w:r>
      <w:r>
        <w:rPr>
          <w:rFonts w:hint="eastAsia" w:hAnsi="宋体" w:cs="宋体"/>
          <w:bCs/>
          <w:sz w:val="24"/>
          <w:szCs w:val="24"/>
        </w:rPr>
        <w:t>月</w:t>
      </w:r>
      <w:r>
        <w:rPr>
          <w:rFonts w:hint="eastAsia" w:hAnsi="宋体" w:cs="宋体"/>
          <w:bCs/>
          <w:sz w:val="24"/>
          <w:szCs w:val="24"/>
          <w:lang w:val="en-US" w:eastAsia="zh-CN"/>
        </w:rPr>
        <w:t>4</w:t>
      </w:r>
      <w:r>
        <w:rPr>
          <w:rFonts w:hint="eastAsia" w:hAnsi="宋体" w:cs="宋体"/>
          <w:bCs/>
          <w:sz w:val="24"/>
          <w:szCs w:val="24"/>
        </w:rPr>
        <w:t>日。</w:t>
      </w:r>
    </w:p>
    <w:p w14:paraId="11A65684">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11、公开竞争采购文件澄清及答疑时间：202</w:t>
      </w:r>
      <w:r>
        <w:rPr>
          <w:rFonts w:hint="eastAsia" w:hAnsi="宋体" w:cs="宋体"/>
          <w:bCs/>
          <w:sz w:val="24"/>
          <w:szCs w:val="24"/>
          <w:lang w:val="en-US" w:eastAsia="zh-CN"/>
        </w:rPr>
        <w:t>6</w:t>
      </w:r>
      <w:r>
        <w:rPr>
          <w:rFonts w:hint="eastAsia" w:hAnsi="宋体" w:cs="宋体"/>
          <w:bCs/>
          <w:sz w:val="24"/>
          <w:szCs w:val="24"/>
        </w:rPr>
        <w:t>年</w:t>
      </w:r>
      <w:r>
        <w:rPr>
          <w:rFonts w:hint="eastAsia" w:hAnsi="宋体" w:cs="宋体"/>
          <w:bCs/>
          <w:sz w:val="24"/>
          <w:szCs w:val="24"/>
          <w:lang w:val="en-US" w:eastAsia="zh-CN"/>
        </w:rPr>
        <w:t>1</w:t>
      </w:r>
      <w:r>
        <w:rPr>
          <w:rFonts w:hint="eastAsia" w:hAnsi="宋体" w:cs="宋体"/>
          <w:bCs/>
          <w:sz w:val="24"/>
          <w:szCs w:val="24"/>
        </w:rPr>
        <w:t>月</w:t>
      </w:r>
      <w:r>
        <w:rPr>
          <w:rFonts w:hint="eastAsia" w:hAnsi="宋体" w:cs="宋体"/>
          <w:bCs/>
          <w:sz w:val="24"/>
          <w:szCs w:val="24"/>
          <w:lang w:val="en-US" w:eastAsia="zh-CN"/>
        </w:rPr>
        <w:t>5</w:t>
      </w:r>
      <w:r>
        <w:rPr>
          <w:rFonts w:hint="eastAsia" w:hAnsi="宋体" w:cs="宋体"/>
          <w:bCs/>
          <w:sz w:val="24"/>
          <w:szCs w:val="24"/>
        </w:rPr>
        <w:t>日17：00前，公开竞争采购方尽快给于答疑。</w:t>
      </w:r>
    </w:p>
    <w:p w14:paraId="66AAE660">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12、响应供应商“采用有限数量制”：响应供应商“采用有限数量制”：合格单位不足9家全部邀请，超过9家取资格审核排名前9的申请人。</w:t>
      </w:r>
    </w:p>
    <w:p w14:paraId="2D339BC2">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13、媒介：本次公告在中国采购与招标网（http://www.chinabidding.com.cn）、公司网站（http://www.bmei.com/）。因轻信其他组织、个人或媒介提供的信息而造成的损失，其责任由响应供应商自行负责。</w:t>
      </w:r>
    </w:p>
    <w:p w14:paraId="351ED14B">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14、上述所有时间均为北京时间。</w:t>
      </w:r>
    </w:p>
    <w:p w14:paraId="33079D87">
      <w:pPr>
        <w:pStyle w:val="3"/>
        <w:snapToGrid w:val="0"/>
        <w:spacing w:line="360" w:lineRule="auto"/>
        <w:rPr>
          <w:rFonts w:hint="eastAsia" w:hAnsi="宋体" w:cs="宋体"/>
          <w:szCs w:val="24"/>
          <w:lang w:val="en-US" w:eastAsia="zh-CN"/>
        </w:rPr>
      </w:pPr>
      <w:bookmarkStart w:id="25" w:name="_Toc527364903"/>
      <w:r>
        <w:rPr>
          <w:rFonts w:hint="eastAsia" w:hAnsi="宋体" w:cs="宋体"/>
          <w:szCs w:val="24"/>
          <w:lang w:val="en-US" w:eastAsia="zh-CN"/>
        </w:rPr>
        <w:t>五、响应供应商资格要求</w:t>
      </w:r>
      <w:bookmarkEnd w:id="25"/>
    </w:p>
    <w:p w14:paraId="66C1A8A1">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1、供应商应当具备下列条件：</w:t>
      </w:r>
    </w:p>
    <w:p w14:paraId="0FEABF06">
      <w:pPr>
        <w:pStyle w:val="15"/>
        <w:adjustRightInd w:val="0"/>
        <w:snapToGrid w:val="0"/>
        <w:spacing w:line="360" w:lineRule="auto"/>
        <w:ind w:firstLine="0" w:firstLineChars="0"/>
        <w:rPr>
          <w:rFonts w:hint="eastAsia" w:hAnsi="宋体" w:cs="宋体"/>
          <w:bCs/>
          <w:szCs w:val="24"/>
          <w:highlight w:val="none"/>
        </w:rPr>
      </w:pPr>
      <w:r>
        <w:rPr>
          <w:rFonts w:hint="eastAsia" w:hAnsi="宋体" w:cs="宋体"/>
          <w:bCs/>
          <w:szCs w:val="24"/>
        </w:rPr>
        <w:t>（1）具备履行民事责任能力的独立法人，</w:t>
      </w:r>
      <w:r>
        <w:rPr>
          <w:rFonts w:hint="eastAsia" w:hAnsi="宋体" w:cs="宋体"/>
          <w:bCs/>
          <w:szCs w:val="24"/>
          <w:highlight w:val="none"/>
        </w:rPr>
        <w:t>注册资本金不低于</w:t>
      </w:r>
      <w:r>
        <w:rPr>
          <w:rFonts w:hint="eastAsia" w:hAnsi="宋体" w:cs="宋体"/>
          <w:bCs/>
          <w:color w:val="FF0000"/>
          <w:szCs w:val="24"/>
          <w:highlight w:val="none"/>
          <w:lang w:val="en-US" w:eastAsia="zh-CN"/>
        </w:rPr>
        <w:t>3</w:t>
      </w:r>
      <w:r>
        <w:rPr>
          <w:rFonts w:hint="eastAsia" w:hAnsi="宋体" w:cs="宋体"/>
          <w:bCs/>
          <w:color w:val="FF0000"/>
          <w:szCs w:val="24"/>
          <w:highlight w:val="none"/>
        </w:rPr>
        <w:t>00</w:t>
      </w:r>
      <w:r>
        <w:rPr>
          <w:rFonts w:hint="eastAsia" w:hAnsi="宋体" w:cs="宋体"/>
          <w:bCs/>
          <w:szCs w:val="24"/>
          <w:highlight w:val="none"/>
        </w:rPr>
        <w:t>万元；</w:t>
      </w:r>
    </w:p>
    <w:p w14:paraId="3AEBD833">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（2）具有类似项目的供货服务经验。</w:t>
      </w:r>
    </w:p>
    <w:p w14:paraId="081CAC84">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（3）具有履行合同所必需的设备和专业技术能力；</w:t>
      </w:r>
    </w:p>
    <w:p w14:paraId="5F3FED99">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（4）具有良好的银行资信和商业信誉；</w:t>
      </w:r>
    </w:p>
    <w:p w14:paraId="4F71DE89">
      <w:pPr>
        <w:pStyle w:val="29"/>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Cs w:val="24"/>
        </w:rPr>
      </w:pPr>
      <w:r>
        <w:rPr>
          <w:rFonts w:hint="eastAsia"/>
          <w:bCs/>
          <w:szCs w:val="24"/>
        </w:rPr>
        <w:t>（5）参加公开竞争采购活动2年内没有相关违法或者违法嫌疑记录。</w:t>
      </w:r>
    </w:p>
    <w:p w14:paraId="3363899B">
      <w:pPr>
        <w:pStyle w:val="29"/>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Cs w:val="24"/>
        </w:rPr>
      </w:pPr>
      <w:r>
        <w:rPr>
          <w:rFonts w:hint="eastAsia"/>
          <w:bCs/>
          <w:szCs w:val="24"/>
        </w:rPr>
        <w:t>2、在购买公开竞争采购文件时须向采购方提供以下材料（加盖公章）</w:t>
      </w:r>
    </w:p>
    <w:p w14:paraId="74CE629B">
      <w:pPr>
        <w:pStyle w:val="15"/>
        <w:adjustRightInd w:val="0"/>
        <w:snapToGrid w:val="0"/>
        <w:spacing w:line="360" w:lineRule="auto"/>
        <w:ind w:firstLine="0" w:firstLineChars="0"/>
        <w:rPr>
          <w:rFonts w:hint="eastAsia" w:hAnsi="宋体" w:cs="宋体"/>
          <w:bCs/>
          <w:szCs w:val="24"/>
        </w:rPr>
      </w:pPr>
      <w:bookmarkStart w:id="26" w:name="_Toc527364904"/>
      <w:r>
        <w:rPr>
          <w:rFonts w:hint="eastAsia" w:hAnsi="宋体" w:cs="宋体"/>
          <w:bCs/>
          <w:szCs w:val="24"/>
        </w:rPr>
        <w:t>（1）企业营业执照、组织机构代码、税务登记证（三证合一）副本复印件；</w:t>
      </w:r>
    </w:p>
    <w:p w14:paraId="7B8FA2D7">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（2）法定代表人授权委托书原件，法人身份证、委托代理人身份证复印件；</w:t>
      </w:r>
    </w:p>
    <w:p w14:paraId="010A2BAF">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（3）近3年有3个相应或类似业绩合同或者证明文件的复印件；</w:t>
      </w:r>
    </w:p>
    <w:p w14:paraId="33A63001">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（4）提供无处于被责令停业，财产被接管，冻结、破产状态的证明（或承诺）文件；</w:t>
      </w:r>
    </w:p>
    <w:p w14:paraId="04E416EE">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（5）提供无京城环保员工或亲属在贵公司任职或控股的证明（或承诺）文件；</w:t>
      </w:r>
    </w:p>
    <w:p w14:paraId="2F177348">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（6）提供</w:t>
      </w:r>
      <w:r>
        <w:rPr>
          <w:rFonts w:hint="eastAsia" w:hAnsi="宋体" w:cs="宋体"/>
          <w:bCs/>
          <w:szCs w:val="24"/>
          <w:lang w:val="en-US" w:eastAsia="zh-CN"/>
        </w:rPr>
        <w:t>成交</w:t>
      </w:r>
      <w:r>
        <w:rPr>
          <w:rFonts w:hint="eastAsia" w:hAnsi="宋体" w:cs="宋体"/>
          <w:bCs/>
          <w:szCs w:val="24"/>
        </w:rPr>
        <w:t>后不得转包的承诺文件；</w:t>
      </w:r>
    </w:p>
    <w:p w14:paraId="703E0DBE">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（7）公开竞争申请函及附表。</w:t>
      </w:r>
    </w:p>
    <w:p w14:paraId="36167DF2">
      <w:pPr>
        <w:pStyle w:val="3"/>
        <w:snapToGrid w:val="0"/>
        <w:spacing w:line="360" w:lineRule="auto"/>
        <w:rPr>
          <w:rFonts w:hint="eastAsia" w:hAnsi="宋体" w:cs="宋体"/>
          <w:szCs w:val="24"/>
          <w:lang w:eastAsia="zh-CN"/>
        </w:rPr>
      </w:pPr>
      <w:r>
        <w:rPr>
          <w:rFonts w:hint="eastAsia" w:hAnsi="宋体" w:cs="宋体"/>
          <w:szCs w:val="24"/>
        </w:rPr>
        <w:t>六、</w:t>
      </w:r>
      <w:bookmarkEnd w:id="26"/>
      <w:r>
        <w:rPr>
          <w:rFonts w:hint="eastAsia" w:hAnsi="宋体" w:cs="宋体"/>
          <w:szCs w:val="24"/>
          <w:lang w:eastAsia="zh-CN"/>
        </w:rPr>
        <w:t>公开竞争采购文件费用</w:t>
      </w:r>
    </w:p>
    <w:p w14:paraId="1B4BBDE4">
      <w:pPr>
        <w:numPr>
          <w:ilvl w:val="0"/>
          <w:numId w:val="3"/>
        </w:numPr>
        <w:adjustRightInd w:val="0"/>
        <w:snapToGrid w:val="0"/>
        <w:spacing w:line="360" w:lineRule="auto"/>
        <w:jc w:val="left"/>
        <w:rPr>
          <w:rFonts w:hint="eastAsia" w:hAnsi="宋体" w:cs="宋体"/>
          <w:bCs/>
          <w:sz w:val="24"/>
          <w:szCs w:val="24"/>
        </w:rPr>
      </w:pPr>
      <w:r>
        <w:rPr>
          <w:rFonts w:hint="eastAsia" w:hAnsi="宋体" w:cs="宋体"/>
          <w:bCs/>
          <w:sz w:val="24"/>
          <w:szCs w:val="24"/>
        </w:rPr>
        <w:t>每套公开竞争采购文件购置费500元；</w:t>
      </w:r>
    </w:p>
    <w:p w14:paraId="2F6541C4">
      <w:pPr>
        <w:adjustRightInd w:val="0"/>
        <w:snapToGrid w:val="0"/>
        <w:spacing w:line="360" w:lineRule="auto"/>
        <w:jc w:val="left"/>
        <w:rPr>
          <w:rFonts w:hint="eastAsia" w:hAnsi="宋体" w:cs="宋体"/>
          <w:bCs/>
          <w:sz w:val="24"/>
          <w:szCs w:val="24"/>
        </w:rPr>
      </w:pPr>
      <w:r>
        <w:rPr>
          <w:rFonts w:hint="eastAsia" w:hAnsi="宋体" w:cs="宋体"/>
          <w:bCs/>
          <w:sz w:val="24"/>
          <w:szCs w:val="24"/>
        </w:rPr>
        <w:t>2、相关费用的缴纳，请使用响应供应商的基本账号转账。</w:t>
      </w:r>
    </w:p>
    <w:p w14:paraId="1B5CBA15">
      <w:pPr>
        <w:adjustRightInd w:val="0"/>
        <w:snapToGrid w:val="0"/>
        <w:spacing w:line="360" w:lineRule="auto"/>
        <w:ind w:firstLine="3600" w:firstLineChars="1500"/>
        <w:jc w:val="right"/>
        <w:rPr>
          <w:rFonts w:hint="eastAsia" w:hAnsi="宋体" w:eastAsia="宋体" w:cs="宋体"/>
          <w:bCs/>
          <w:sz w:val="24"/>
          <w:szCs w:val="24"/>
          <w:lang w:eastAsia="zh-CN"/>
        </w:rPr>
      </w:pPr>
      <w:r>
        <w:rPr>
          <w:rFonts w:hint="eastAsia" w:hAnsi="宋体" w:cs="宋体"/>
          <w:bCs/>
          <w:sz w:val="24"/>
          <w:szCs w:val="24"/>
          <w:lang w:eastAsia="zh-CN"/>
        </w:rPr>
        <w:t>北京京城环保股份有限公司</w:t>
      </w:r>
    </w:p>
    <w:p w14:paraId="7FE8AC2B">
      <w:pPr>
        <w:jc w:val="right"/>
        <w:rPr>
          <w:rFonts w:hint="eastAsia" w:hAnsi="宋体" w:cs="宋体"/>
          <w:sz w:val="24"/>
          <w:szCs w:val="24"/>
        </w:rPr>
      </w:pPr>
      <w:r>
        <w:rPr>
          <w:rFonts w:hint="eastAsia" w:hAnsi="宋体" w:cs="宋体"/>
          <w:b/>
          <w:sz w:val="24"/>
          <w:szCs w:val="24"/>
        </w:rPr>
        <w:t>2025年</w:t>
      </w:r>
      <w:r>
        <w:rPr>
          <w:rFonts w:hint="eastAsia" w:hAnsi="宋体" w:cs="宋体"/>
          <w:b/>
          <w:sz w:val="24"/>
          <w:szCs w:val="24"/>
          <w:lang w:val="en-US" w:eastAsia="zh-CN"/>
        </w:rPr>
        <w:t>12</w:t>
      </w:r>
      <w:r>
        <w:rPr>
          <w:rFonts w:hint="eastAsia" w:hAnsi="宋体" w:cs="宋体"/>
          <w:b/>
          <w:sz w:val="24"/>
          <w:szCs w:val="24"/>
        </w:rPr>
        <w:t>月</w:t>
      </w:r>
      <w:r>
        <w:rPr>
          <w:rFonts w:hint="eastAsia" w:hAnsi="宋体" w:cs="宋体"/>
          <w:b/>
          <w:sz w:val="24"/>
          <w:szCs w:val="24"/>
          <w:lang w:val="en-US" w:eastAsia="zh-CN"/>
        </w:rPr>
        <w:t>25</w:t>
      </w:r>
      <w:r>
        <w:rPr>
          <w:rFonts w:hint="eastAsia" w:hAnsi="宋体" w:cs="宋体"/>
          <w:b/>
          <w:sz w:val="24"/>
          <w:szCs w:val="24"/>
        </w:rPr>
        <w:t xml:space="preserve">日   </w:t>
      </w:r>
      <w:r>
        <w:rPr>
          <w:rFonts w:hint="eastAsia" w:hAnsi="宋体" w:cs="宋体"/>
          <w:sz w:val="24"/>
          <w:szCs w:val="24"/>
        </w:rPr>
        <w:t xml:space="preserve">                                        </w:t>
      </w:r>
      <w:r>
        <w:rPr>
          <w:rFonts w:hint="eastAsia" w:hAnsi="宋体" w:cs="宋体"/>
          <w:sz w:val="24"/>
          <w:szCs w:val="24"/>
        </w:rPr>
        <w:br w:type="page"/>
      </w:r>
      <w:bookmarkStart w:id="27" w:name="_Toc448839083"/>
      <w:bookmarkStart w:id="28" w:name="_Toc449687366"/>
      <w:bookmarkStart w:id="29" w:name="_Toc449700509"/>
      <w:bookmarkStart w:id="30" w:name="_Toc449619597"/>
      <w:bookmarkStart w:id="31" w:name="_Toc449618573"/>
    </w:p>
    <w:p w14:paraId="3A44E9EF">
      <w:pPr>
        <w:pStyle w:val="3"/>
        <w:jc w:val="center"/>
        <w:rPr>
          <w:rFonts w:hint="eastAsia" w:hAnsi="宋体" w:cs="宋体"/>
          <w:szCs w:val="24"/>
        </w:rPr>
      </w:pPr>
      <w:bookmarkStart w:id="32" w:name="_Toc527364905"/>
      <w:r>
        <w:rPr>
          <w:rFonts w:hint="eastAsia" w:hAnsi="宋体" w:cs="宋体"/>
          <w:szCs w:val="24"/>
        </w:rPr>
        <w:t xml:space="preserve">第二章 </w:t>
      </w:r>
      <w:bookmarkEnd w:id="27"/>
      <w:bookmarkEnd w:id="28"/>
      <w:bookmarkEnd w:id="29"/>
      <w:bookmarkEnd w:id="30"/>
      <w:bookmarkEnd w:id="31"/>
      <w:bookmarkEnd w:id="32"/>
      <w:r>
        <w:rPr>
          <w:rFonts w:hint="eastAsia" w:hAnsi="宋体" w:cs="宋体"/>
          <w:szCs w:val="24"/>
        </w:rPr>
        <w:t>公开竞争申请函</w:t>
      </w:r>
    </w:p>
    <w:p w14:paraId="233D8438">
      <w:pPr>
        <w:rPr>
          <w:rFonts w:hint="eastAsia" w:hAnsi="宋体" w:cs="宋体"/>
          <w:sz w:val="24"/>
          <w:szCs w:val="24"/>
        </w:rPr>
      </w:pPr>
    </w:p>
    <w:p w14:paraId="3BF2A84D">
      <w:pPr>
        <w:pStyle w:val="15"/>
        <w:adjustRightInd w:val="0"/>
        <w:snapToGrid w:val="0"/>
        <w:spacing w:line="360" w:lineRule="auto"/>
        <w:ind w:firstLine="0" w:firstLineChars="0"/>
        <w:rPr>
          <w:rFonts w:hint="eastAsia" w:hAnsi="宋体" w:eastAsia="宋体" w:cs="宋体"/>
          <w:bCs/>
          <w:sz w:val="21"/>
          <w:szCs w:val="21"/>
          <w:lang w:eastAsia="zh-CN"/>
        </w:rPr>
      </w:pPr>
      <w:r>
        <w:rPr>
          <w:rFonts w:hint="eastAsia" w:hAnsi="宋体" w:cs="宋体"/>
          <w:bCs/>
          <w:sz w:val="21"/>
          <w:szCs w:val="21"/>
        </w:rPr>
        <w:t>致：</w:t>
      </w:r>
      <w:r>
        <w:rPr>
          <w:rFonts w:hint="eastAsia" w:hAnsi="宋体" w:cs="宋体"/>
          <w:bCs/>
          <w:sz w:val="21"/>
          <w:szCs w:val="21"/>
          <w:lang w:eastAsia="zh-CN"/>
        </w:rPr>
        <w:t>北京京城环保股份有限公司</w:t>
      </w:r>
    </w:p>
    <w:p w14:paraId="4665A062">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1、按照本公开竞争采购公告的要求，我方递交的申请文件及有关资料，用于采购方审查我方参加</w:t>
      </w:r>
      <w:r>
        <w:rPr>
          <w:rFonts w:hint="eastAsia" w:hAnsi="宋体" w:cs="宋体"/>
          <w:bCs/>
          <w:sz w:val="21"/>
          <w:szCs w:val="21"/>
          <w:u w:val="single"/>
          <w:lang w:val="en-US" w:eastAsia="zh-CN"/>
        </w:rPr>
        <w:t>北京市通州区有机质资源生态处理站设备更新项目</w:t>
      </w:r>
      <w:r>
        <w:rPr>
          <w:rFonts w:hint="eastAsia" w:hAnsi="宋体" w:cs="宋体"/>
          <w:bCs/>
          <w:sz w:val="21"/>
          <w:szCs w:val="21"/>
          <w:u w:val="single"/>
        </w:rPr>
        <w:t>-</w:t>
      </w:r>
      <w:r>
        <w:rPr>
          <w:rFonts w:hint="eastAsia" w:hAnsi="宋体" w:cs="宋体"/>
          <w:bCs/>
          <w:sz w:val="21"/>
          <w:szCs w:val="21"/>
          <w:u w:val="single"/>
          <w:lang w:val="en-US" w:eastAsia="zh-CN"/>
        </w:rPr>
        <w:t>焊接加工件</w:t>
      </w:r>
      <w:r>
        <w:rPr>
          <w:rFonts w:hint="eastAsia" w:hAnsi="宋体" w:cs="宋体"/>
          <w:bCs/>
          <w:sz w:val="21"/>
          <w:szCs w:val="21"/>
        </w:rPr>
        <w:t>公开竞争采购的资格。</w:t>
      </w:r>
    </w:p>
    <w:p w14:paraId="510019B0">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2、我方同意采购方在此期间，对我们所报内容进行实际考察，并核实其真实性与准确性，我方一定积极配合。</w:t>
      </w:r>
    </w:p>
    <w:p w14:paraId="096ABF96">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3、我方声明，所递交的文件及有关资料内容完整、真实和准确，经采购方调查后，如发现我方所报内容与实际不符，你方有权取消我方参加公开竞争采购的资格。如已入围或被列为成交候选人，同意取消我方入围资格或成交候选人资格，一切责任由我方自负。</w:t>
      </w:r>
    </w:p>
    <w:p w14:paraId="45AEBAA8">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4、我方理解采购方有权拒绝任何申请，而无需由采购方承担任何责任。</w:t>
      </w:r>
    </w:p>
    <w:p w14:paraId="47481F76">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5、在确定我方为正式响应供应商（购买公开竞争采购文件）后，我方愿意按公开竞争采购文件的要求详细填写和编制响应文件，并按“前附表”确定的时间、地点准时参加。</w:t>
      </w:r>
    </w:p>
    <w:p w14:paraId="46E0FDC5">
      <w:pPr>
        <w:spacing w:line="440" w:lineRule="exact"/>
        <w:ind w:right="-159" w:firstLine="420" w:firstLineChars="200"/>
        <w:rPr>
          <w:rFonts w:hint="eastAsia" w:hAnsi="宋体" w:cs="宋体"/>
          <w:sz w:val="21"/>
          <w:szCs w:val="21"/>
        </w:rPr>
      </w:pPr>
    </w:p>
    <w:p w14:paraId="242E4B87">
      <w:pPr>
        <w:spacing w:line="440" w:lineRule="exact"/>
        <w:ind w:right="-159" w:firstLine="420" w:firstLineChars="200"/>
        <w:rPr>
          <w:rFonts w:hint="eastAsia" w:hAnsi="宋体" w:cs="宋体"/>
          <w:sz w:val="21"/>
          <w:szCs w:val="21"/>
        </w:rPr>
      </w:pPr>
    </w:p>
    <w:p w14:paraId="36A31D0C">
      <w:pPr>
        <w:spacing w:line="440" w:lineRule="exact"/>
        <w:ind w:right="-159" w:firstLine="420" w:firstLineChars="200"/>
        <w:rPr>
          <w:rFonts w:hint="eastAsia" w:hAnsi="宋体" w:cs="宋体"/>
          <w:sz w:val="21"/>
          <w:szCs w:val="21"/>
        </w:rPr>
      </w:pPr>
    </w:p>
    <w:p w14:paraId="2FFB5639">
      <w:pPr>
        <w:spacing w:line="440" w:lineRule="exact"/>
        <w:ind w:right="-159" w:firstLine="420" w:firstLineChars="200"/>
        <w:rPr>
          <w:rFonts w:hint="eastAsia" w:hAnsi="宋体" w:cs="宋体"/>
          <w:sz w:val="21"/>
          <w:szCs w:val="21"/>
        </w:rPr>
      </w:pPr>
    </w:p>
    <w:p w14:paraId="6129B2DB">
      <w:pPr>
        <w:spacing w:line="440" w:lineRule="exact"/>
        <w:ind w:right="-159" w:firstLine="4515" w:firstLineChars="2150"/>
        <w:rPr>
          <w:rFonts w:hint="eastAsia" w:hAnsi="宋体" w:cs="宋体"/>
          <w:sz w:val="21"/>
          <w:szCs w:val="21"/>
        </w:rPr>
      </w:pPr>
    </w:p>
    <w:p w14:paraId="1F98866F">
      <w:pPr>
        <w:spacing w:line="440" w:lineRule="exact"/>
        <w:ind w:right="-159" w:firstLine="4515" w:firstLineChars="2150"/>
        <w:rPr>
          <w:rFonts w:hint="eastAsia" w:hAnsi="宋体" w:cs="宋体"/>
          <w:sz w:val="21"/>
          <w:szCs w:val="21"/>
        </w:rPr>
      </w:pPr>
      <w:r>
        <w:rPr>
          <w:rFonts w:hint="eastAsia" w:hAnsi="宋体" w:cs="宋体"/>
          <w:sz w:val="21"/>
          <w:szCs w:val="21"/>
        </w:rPr>
        <w:t>申请人（盖章）：</w:t>
      </w:r>
    </w:p>
    <w:p w14:paraId="05FB5FA9">
      <w:pPr>
        <w:spacing w:line="440" w:lineRule="exact"/>
        <w:ind w:right="-159" w:firstLine="4515" w:firstLineChars="2150"/>
        <w:rPr>
          <w:rFonts w:hint="eastAsia" w:hAnsi="宋体" w:cs="宋体"/>
          <w:sz w:val="21"/>
          <w:szCs w:val="21"/>
        </w:rPr>
      </w:pPr>
    </w:p>
    <w:p w14:paraId="0A080423">
      <w:pPr>
        <w:spacing w:line="440" w:lineRule="exact"/>
        <w:ind w:right="-159" w:firstLine="4515" w:firstLineChars="2150"/>
        <w:rPr>
          <w:rFonts w:hint="eastAsia" w:ascii="宋体" w:hAnsi="宋体" w:eastAsia="宋体" w:cs="宋体"/>
          <w:sz w:val="21"/>
          <w:szCs w:val="21"/>
        </w:rPr>
      </w:pPr>
      <w:r>
        <w:rPr>
          <w:rFonts w:hint="eastAsia" w:hAnsi="宋体" w:cs="宋体"/>
          <w:sz w:val="21"/>
          <w:szCs w:val="21"/>
        </w:rPr>
        <w:t>法定代表人或其委托代理人（签名）：</w:t>
      </w:r>
    </w:p>
    <w:p w14:paraId="0799544F">
      <w:pPr>
        <w:spacing w:line="440" w:lineRule="exact"/>
        <w:ind w:right="-159" w:firstLine="4515" w:firstLineChars="2150"/>
      </w:pPr>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1CB6ADE7">
      <w:pPr>
        <w:spacing w:line="440" w:lineRule="exact"/>
        <w:ind w:right="-159" w:firstLine="4515" w:firstLineChars="2150"/>
      </w:pPr>
    </w:p>
    <w:p w14:paraId="792B8DD7">
      <w:pPr>
        <w:spacing w:line="440" w:lineRule="exact"/>
        <w:ind w:right="-159" w:firstLine="4515" w:firstLineChars="2150"/>
      </w:pPr>
    </w:p>
    <w:p w14:paraId="6282C106">
      <w:pPr>
        <w:spacing w:line="440" w:lineRule="exact"/>
        <w:ind w:right="-159" w:firstLine="4515" w:firstLineChars="2150"/>
      </w:pPr>
    </w:p>
    <w:p w14:paraId="70F463DE">
      <w:pPr>
        <w:spacing w:line="440" w:lineRule="exact"/>
        <w:ind w:right="-159" w:firstLine="4515" w:firstLineChars="2150"/>
      </w:pPr>
    </w:p>
    <w:p w14:paraId="05C9E067">
      <w:pPr>
        <w:spacing w:line="440" w:lineRule="exact"/>
        <w:ind w:right="-159" w:firstLine="4515" w:firstLineChars="2150"/>
      </w:pPr>
    </w:p>
    <w:p w14:paraId="05CBF5E2">
      <w:pPr>
        <w:spacing w:line="440" w:lineRule="exact"/>
        <w:ind w:right="-159" w:firstLine="4515" w:firstLineChars="2150"/>
      </w:pPr>
    </w:p>
    <w:p w14:paraId="2BBF34AC">
      <w:pPr>
        <w:spacing w:line="440" w:lineRule="exact"/>
        <w:ind w:right="-159" w:firstLine="4515" w:firstLineChars="2150"/>
      </w:pPr>
    </w:p>
    <w:p w14:paraId="362FF085">
      <w:pPr>
        <w:pStyle w:val="2"/>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w:t>
      </w:r>
      <w:r>
        <w:rPr>
          <w:rFonts w:hint="eastAsia"/>
          <w:szCs w:val="21"/>
          <w:lang w:val="en-US" w:eastAsia="zh-CN"/>
        </w:rPr>
        <w:t>公开竞争采购</w:t>
      </w:r>
      <w:r>
        <w:rPr>
          <w:rFonts w:hint="eastAsia"/>
          <w:szCs w:val="21"/>
        </w:rPr>
        <w:t>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2"/>
        <w:adjustRightInd w:val="0"/>
        <w:snapToGrid w:val="0"/>
        <w:rPr>
          <w:rFonts w:ascii="黑体" w:eastAsia="黑体"/>
          <w:b w:val="0"/>
        </w:rPr>
      </w:pPr>
      <w:bookmarkStart w:id="33" w:name="_Toc146512971"/>
      <w:r>
        <w:rPr>
          <w:rFonts w:hint="eastAsia" w:ascii="黑体" w:eastAsia="黑体"/>
          <w:b w:val="0"/>
        </w:rPr>
        <w:t>资格审查申请表</w:t>
      </w:r>
      <w:bookmarkEnd w:id="33"/>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2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lang w:val="en-US" w:eastAsia="zh-CN"/>
              </w:rPr>
              <w:t>响应供应商</w:t>
            </w:r>
            <w:r>
              <w:rPr>
                <w:rFonts w:hint="eastAsia" w:hAnsi="宋体"/>
                <w:szCs w:val="21"/>
              </w:rPr>
              <w:t>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20"/>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4</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23</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22</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rFonts w:hint="default" w:eastAsia="宋体"/>
                <w:bCs/>
                <w:szCs w:val="21"/>
                <w:lang w:val="en-US" w:eastAsia="zh-CN"/>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lang w:val="en-US" w:eastAsia="zh-CN"/>
              </w:rPr>
              <w:t xml:space="preserve"> </w:t>
            </w:r>
            <w:r>
              <w:rPr>
                <w:bCs/>
                <w:szCs w:val="21"/>
              </w:rPr>
              <w:t xml:space="preserve">  </w:t>
            </w:r>
            <w:r>
              <w:rPr>
                <w:rFonts w:hint="eastAsia"/>
                <w:bCs/>
                <w:szCs w:val="21"/>
              </w:rPr>
              <w:t>联合体投标</w:t>
            </w:r>
            <w:r>
              <w:rPr>
                <w:bCs/>
                <w:szCs w:val="21"/>
              </w:rPr>
              <w:t>(  )</w:t>
            </w:r>
            <w:r>
              <w:rPr>
                <w:rFonts w:hint="eastAsia"/>
                <w:bCs/>
                <w:szCs w:val="21"/>
                <w:lang w:val="en-US" w:eastAsia="zh-CN"/>
              </w:rPr>
              <w:t xml:space="preserve">        其他</w:t>
            </w:r>
            <w:r>
              <w:rPr>
                <w:bCs/>
                <w:szCs w:val="21"/>
              </w:rPr>
              <w:t>(  )</w:t>
            </w:r>
            <w:r>
              <w:rPr>
                <w:rFonts w:hint="eastAsia"/>
                <w:bCs/>
                <w:szCs w:val="21"/>
                <w:lang w:val="en-US" w:eastAsia="zh-CN"/>
              </w:rPr>
              <w:t xml:space="preserve">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rPr>
        <w:t>投标方：（盖章）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4B2CFD"/>
    <w:multiLevelType w:val="singleLevel"/>
    <w:tmpl w:val="7C4B2CFD"/>
    <w:lvl w:ilvl="0" w:tentative="0">
      <w:start w:val="1"/>
      <w:numFmt w:val="chineseCounting"/>
      <w:suff w:val="nothing"/>
      <w:lvlText w:val="%1、"/>
      <w:lvlJc w:val="left"/>
      <w:rPr>
        <w:rFonts w:hint="eastAsia"/>
      </w:rPr>
    </w:lvl>
  </w:abstractNum>
  <w:abstractNum w:abstractNumId="2">
    <w:nsid w:val="7D0D38A2"/>
    <w:multiLevelType w:val="multilevel"/>
    <w:tmpl w:val="7D0D38A2"/>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619141B"/>
    <w:rsid w:val="0643728C"/>
    <w:rsid w:val="091443E0"/>
    <w:rsid w:val="09926B56"/>
    <w:rsid w:val="09F21C84"/>
    <w:rsid w:val="0E7A0888"/>
    <w:rsid w:val="118F65E6"/>
    <w:rsid w:val="13B94A7A"/>
    <w:rsid w:val="143B7D46"/>
    <w:rsid w:val="180C0058"/>
    <w:rsid w:val="19864ABB"/>
    <w:rsid w:val="19BA02E1"/>
    <w:rsid w:val="19EC12DE"/>
    <w:rsid w:val="1A7D2200"/>
    <w:rsid w:val="1A812768"/>
    <w:rsid w:val="1D6578F6"/>
    <w:rsid w:val="1EE319AE"/>
    <w:rsid w:val="1F7F7A7B"/>
    <w:rsid w:val="1FF64942"/>
    <w:rsid w:val="206E1A23"/>
    <w:rsid w:val="20D62011"/>
    <w:rsid w:val="25683422"/>
    <w:rsid w:val="267C5981"/>
    <w:rsid w:val="27206A9F"/>
    <w:rsid w:val="2AB31482"/>
    <w:rsid w:val="2B824700"/>
    <w:rsid w:val="2E5C0348"/>
    <w:rsid w:val="2FCB419D"/>
    <w:rsid w:val="316023CA"/>
    <w:rsid w:val="31FD4531"/>
    <w:rsid w:val="321751D2"/>
    <w:rsid w:val="328D3057"/>
    <w:rsid w:val="33771489"/>
    <w:rsid w:val="35366BF5"/>
    <w:rsid w:val="38F67BCC"/>
    <w:rsid w:val="3B651FE2"/>
    <w:rsid w:val="3BCF2041"/>
    <w:rsid w:val="3C443E30"/>
    <w:rsid w:val="3E344CA1"/>
    <w:rsid w:val="40537E1C"/>
    <w:rsid w:val="42A65B74"/>
    <w:rsid w:val="46657D9A"/>
    <w:rsid w:val="46811E32"/>
    <w:rsid w:val="46FB7303"/>
    <w:rsid w:val="47334DCA"/>
    <w:rsid w:val="47527181"/>
    <w:rsid w:val="4853080F"/>
    <w:rsid w:val="4881691B"/>
    <w:rsid w:val="48AF6B94"/>
    <w:rsid w:val="492E5ABE"/>
    <w:rsid w:val="49BA773C"/>
    <w:rsid w:val="4B55119A"/>
    <w:rsid w:val="4B796657"/>
    <w:rsid w:val="4BF60A57"/>
    <w:rsid w:val="4C1712AE"/>
    <w:rsid w:val="4C945ACA"/>
    <w:rsid w:val="4DCC48A4"/>
    <w:rsid w:val="50886A77"/>
    <w:rsid w:val="50C60A2C"/>
    <w:rsid w:val="53F05DDB"/>
    <w:rsid w:val="57302B96"/>
    <w:rsid w:val="594B206D"/>
    <w:rsid w:val="5B437541"/>
    <w:rsid w:val="5C19001B"/>
    <w:rsid w:val="5C4C1CD3"/>
    <w:rsid w:val="5ED65160"/>
    <w:rsid w:val="610E073D"/>
    <w:rsid w:val="61B823F1"/>
    <w:rsid w:val="62133731"/>
    <w:rsid w:val="62742FD1"/>
    <w:rsid w:val="64E26F0C"/>
    <w:rsid w:val="66C01B47"/>
    <w:rsid w:val="68A24C51"/>
    <w:rsid w:val="6AF3240E"/>
    <w:rsid w:val="6F5C6DBE"/>
    <w:rsid w:val="710346AF"/>
    <w:rsid w:val="71EE6E27"/>
    <w:rsid w:val="72497FFA"/>
    <w:rsid w:val="74032299"/>
    <w:rsid w:val="763E3DF0"/>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jc w:val="center"/>
      <w:outlineLvl w:val="0"/>
    </w:pPr>
    <w:rPr>
      <w:rFonts w:ascii="宋体"/>
      <w:b/>
      <w:sz w:val="30"/>
      <w:lang w:val="zh-CN"/>
    </w:rPr>
  </w:style>
  <w:style w:type="paragraph" w:styleId="3">
    <w:name w:val="heading 2"/>
    <w:basedOn w:val="4"/>
    <w:next w:val="1"/>
    <w:link w:val="27"/>
    <w:autoRedefine/>
    <w:qFormat/>
    <w:uiPriority w:val="0"/>
    <w:pPr>
      <w:tabs>
        <w:tab w:val="right" w:leader="dot" w:pos="8296"/>
      </w:tabs>
      <w:adjustRightInd w:val="0"/>
      <w:jc w:val="left"/>
      <w:textAlignment w:val="baseline"/>
      <w:outlineLvl w:val="1"/>
    </w:pPr>
    <w:rPr>
      <w:b/>
      <w:sz w:val="24"/>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qFormat/>
    <w:uiPriority w:val="39"/>
  </w:style>
  <w:style w:type="paragraph" w:styleId="5">
    <w:name w:val="annotation text"/>
    <w:basedOn w:val="1"/>
    <w:link w:val="33"/>
    <w:autoRedefine/>
    <w:semiHidden/>
    <w:unhideWhenUsed/>
    <w:qFormat/>
    <w:uiPriority w:val="99"/>
    <w:pPr>
      <w:jc w:val="left"/>
    </w:pPr>
  </w:style>
  <w:style w:type="paragraph" w:styleId="6">
    <w:name w:val="Body Text"/>
    <w:basedOn w:val="1"/>
    <w:next w:val="1"/>
    <w:autoRedefine/>
    <w:qFormat/>
    <w:uiPriority w:val="0"/>
    <w:pPr>
      <w:spacing w:line="460" w:lineRule="exact"/>
    </w:pPr>
    <w:rPr>
      <w:sz w:val="24"/>
    </w:rPr>
  </w:style>
  <w:style w:type="paragraph" w:styleId="7">
    <w:name w:val="Body Text Indent"/>
    <w:basedOn w:val="1"/>
    <w:next w:val="8"/>
    <w:autoRedefine/>
    <w:qFormat/>
    <w:uiPriority w:val="0"/>
    <w:pPr>
      <w:spacing w:line="240" w:lineRule="atLeast"/>
      <w:ind w:right="-159" w:firstLine="246" w:firstLineChars="100"/>
    </w:pPr>
    <w:rPr>
      <w:spacing w:val="20"/>
    </w:rPr>
  </w:style>
  <w:style w:type="paragraph" w:customStyle="1" w:styleId="8">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9">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Date"/>
    <w:basedOn w:val="1"/>
    <w:next w:val="1"/>
    <w:link w:val="35"/>
    <w:autoRedefine/>
    <w:semiHidden/>
    <w:unhideWhenUsed/>
    <w:qFormat/>
    <w:uiPriority w:val="99"/>
    <w:pPr>
      <w:ind w:left="100" w:leftChars="2500"/>
    </w:p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8"/>
    <w:qFormat/>
    <w:uiPriority w:val="0"/>
    <w:pPr>
      <w:spacing w:line="300" w:lineRule="auto"/>
      <w:ind w:firstLine="480" w:firstLineChars="200"/>
      <w:jc w:val="left"/>
    </w:pPr>
    <w:rPr>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annotation subject"/>
    <w:basedOn w:val="5"/>
    <w:next w:val="5"/>
    <w:link w:val="34"/>
    <w:semiHidden/>
    <w:unhideWhenUsed/>
    <w:qFormat/>
    <w:uiPriority w:val="99"/>
    <w:rPr>
      <w:b/>
      <w:bCs/>
    </w:rPr>
  </w:style>
  <w:style w:type="paragraph" w:styleId="18">
    <w:name w:val="Body Text First Indent"/>
    <w:basedOn w:val="6"/>
    <w:next w:val="1"/>
    <w:autoRedefine/>
    <w:qFormat/>
    <w:uiPriority w:val="0"/>
    <w:pPr>
      <w:spacing w:before="0" w:beforeLines="0" w:after="120" w:afterLines="0" w:line="240" w:lineRule="auto"/>
      <w:ind w:firstLine="420" w:firstLineChars="100"/>
    </w:pPr>
    <w:rPr>
      <w:rFonts w:hAnsi="Times New Roman"/>
      <w:szCs w:val="20"/>
    </w:rPr>
  </w:style>
  <w:style w:type="paragraph" w:styleId="19">
    <w:name w:val="Body Text First Indent 2"/>
    <w:basedOn w:val="7"/>
    <w:unhideWhenUsed/>
    <w:qFormat/>
    <w:uiPriority w:val="99"/>
    <w:pPr>
      <w:spacing w:after="120"/>
      <w:ind w:left="420" w:leftChars="200" w:firstLine="420"/>
    </w:pPr>
    <w:rPr>
      <w:rFonts w:ascii="Times New Roman" w:hAnsi="Times New Roman"/>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21"/>
      <w:szCs w:val="21"/>
    </w:rPr>
  </w:style>
  <w:style w:type="paragraph" w:customStyle="1" w:styleId="25">
    <w:name w:val="_Style 1"/>
    <w:basedOn w:val="1"/>
    <w:qFormat/>
    <w:uiPriority w:val="34"/>
    <w:pPr>
      <w:ind w:firstLine="420"/>
    </w:pPr>
    <w:rPr>
      <w:szCs w:val="24"/>
    </w:rPr>
  </w:style>
  <w:style w:type="character" w:customStyle="1" w:styleId="26">
    <w:name w:val="标题 1 Char"/>
    <w:basedOn w:val="22"/>
    <w:link w:val="2"/>
    <w:qFormat/>
    <w:uiPriority w:val="0"/>
    <w:rPr>
      <w:rFonts w:ascii="宋体" w:hAnsi="Times New Roman" w:eastAsia="宋体" w:cs="Times New Roman"/>
      <w:b/>
      <w:sz w:val="30"/>
      <w:szCs w:val="24"/>
      <w:lang w:val="zh-CN"/>
    </w:rPr>
  </w:style>
  <w:style w:type="character" w:customStyle="1" w:styleId="27">
    <w:name w:val="标题 2 Char"/>
    <w:basedOn w:val="22"/>
    <w:link w:val="3"/>
    <w:qFormat/>
    <w:uiPriority w:val="0"/>
    <w:rPr>
      <w:rFonts w:ascii="Times New Roman" w:hAnsi="Times New Roman" w:eastAsia="宋体" w:cs="Times New Roman"/>
      <w:b/>
      <w:sz w:val="24"/>
      <w:szCs w:val="20"/>
      <w:lang w:val="en-US" w:eastAsia="zh-CN"/>
    </w:rPr>
  </w:style>
  <w:style w:type="character" w:customStyle="1" w:styleId="28">
    <w:name w:val="正文文本缩进 3 Char"/>
    <w:basedOn w:val="22"/>
    <w:link w:val="15"/>
    <w:qFormat/>
    <w:uiPriority w:val="0"/>
    <w:rPr>
      <w:rFonts w:ascii="Times New Roman" w:hAnsi="Times New Roman" w:eastAsia="宋体" w:cs="Times New Roman"/>
      <w:sz w:val="24"/>
      <w:szCs w:val="24"/>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批注框文本 Char"/>
    <w:basedOn w:val="22"/>
    <w:link w:val="12"/>
    <w:semiHidden/>
    <w:qFormat/>
    <w:uiPriority w:val="99"/>
    <w:rPr>
      <w:rFonts w:ascii="Times New Roman" w:hAnsi="Times New Roman" w:eastAsia="宋体" w:cs="Times New Roman"/>
      <w:sz w:val="18"/>
      <w:szCs w:val="18"/>
    </w:rPr>
  </w:style>
  <w:style w:type="character" w:customStyle="1" w:styleId="31">
    <w:name w:val="页眉 Char"/>
    <w:basedOn w:val="22"/>
    <w:link w:val="14"/>
    <w:qFormat/>
    <w:uiPriority w:val="99"/>
    <w:rPr>
      <w:rFonts w:ascii="Times New Roman" w:hAnsi="Times New Roman" w:eastAsia="宋体" w:cs="Times New Roman"/>
      <w:sz w:val="18"/>
      <w:szCs w:val="18"/>
    </w:rPr>
  </w:style>
  <w:style w:type="character" w:customStyle="1" w:styleId="32">
    <w:name w:val="页脚 Char"/>
    <w:basedOn w:val="22"/>
    <w:link w:val="13"/>
    <w:qFormat/>
    <w:uiPriority w:val="99"/>
    <w:rPr>
      <w:rFonts w:ascii="Times New Roman" w:hAnsi="Times New Roman" w:eastAsia="宋体" w:cs="Times New Roman"/>
      <w:sz w:val="18"/>
      <w:szCs w:val="18"/>
    </w:rPr>
  </w:style>
  <w:style w:type="character" w:customStyle="1" w:styleId="33">
    <w:name w:val="批注文字 Char"/>
    <w:basedOn w:val="22"/>
    <w:link w:val="5"/>
    <w:semiHidden/>
    <w:qFormat/>
    <w:uiPriority w:val="99"/>
    <w:rPr>
      <w:rFonts w:ascii="Times New Roman" w:hAnsi="Times New Roman" w:eastAsia="宋体" w:cs="Times New Roman"/>
      <w:kern w:val="2"/>
      <w:sz w:val="21"/>
      <w:szCs w:val="24"/>
    </w:rPr>
  </w:style>
  <w:style w:type="character" w:customStyle="1" w:styleId="34">
    <w:name w:val="批注主题 Char"/>
    <w:basedOn w:val="33"/>
    <w:link w:val="17"/>
    <w:autoRedefine/>
    <w:semiHidden/>
    <w:qFormat/>
    <w:uiPriority w:val="99"/>
    <w:rPr>
      <w:rFonts w:ascii="Times New Roman" w:hAnsi="Times New Roman" w:eastAsia="宋体" w:cs="Times New Roman"/>
      <w:b/>
      <w:bCs/>
      <w:kern w:val="2"/>
      <w:sz w:val="21"/>
      <w:szCs w:val="24"/>
    </w:rPr>
  </w:style>
  <w:style w:type="character" w:customStyle="1" w:styleId="35">
    <w:name w:val="日期 Char"/>
    <w:basedOn w:val="22"/>
    <w:link w:val="11"/>
    <w:autoRedefine/>
    <w:semiHidden/>
    <w:qFormat/>
    <w:uiPriority w:val="99"/>
    <w:rPr>
      <w:kern w:val="2"/>
      <w:sz w:val="21"/>
      <w:szCs w:val="24"/>
    </w:rPr>
  </w:style>
  <w:style w:type="paragraph" w:styleId="36">
    <w:name w:val="List Paragraph"/>
    <w:basedOn w:val="1"/>
    <w:autoRedefine/>
    <w:qFormat/>
    <w:uiPriority w:val="34"/>
    <w:pPr>
      <w:ind w:firstLine="420" w:firstLineChars="200"/>
    </w:pPr>
    <w:rPr>
      <w:rFonts w:ascii="@宋体" w:hAnsi="@宋体" w:cs="@宋体"/>
    </w:rPr>
  </w:style>
  <w:style w:type="character" w:customStyle="1" w:styleId="37">
    <w:name w:val="cucd-0 Char"/>
    <w:link w:val="38"/>
    <w:autoRedefine/>
    <w:qFormat/>
    <w:locked/>
    <w:uiPriority w:val="0"/>
    <w:rPr>
      <w:rFonts w:ascii="宋体" w:hAnsi="宋体" w:eastAsia="Times New Roman"/>
      <w:kern w:val="2"/>
      <w:sz w:val="24"/>
      <w:szCs w:val="24"/>
    </w:rPr>
  </w:style>
  <w:style w:type="paragraph" w:customStyle="1" w:styleId="38">
    <w:name w:val="cucd-0"/>
    <w:link w:val="37"/>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9">
    <w:name w:val="font21"/>
    <w:basedOn w:val="22"/>
    <w:autoRedefine/>
    <w:qFormat/>
    <w:uiPriority w:val="0"/>
    <w:rPr>
      <w:rFonts w:hint="eastAsia" w:ascii="宋体" w:hAnsi="宋体" w:eastAsia="宋体" w:cs="宋体"/>
      <w:color w:val="000000"/>
      <w:sz w:val="18"/>
      <w:szCs w:val="18"/>
      <w:u w:val="none"/>
    </w:rPr>
  </w:style>
  <w:style w:type="character" w:customStyle="1" w:styleId="40">
    <w:name w:val="font31"/>
    <w:basedOn w:val="22"/>
    <w:autoRedefine/>
    <w:qFormat/>
    <w:uiPriority w:val="0"/>
    <w:rPr>
      <w:rFonts w:hint="eastAsia" w:ascii="宋体" w:hAnsi="宋体" w:eastAsia="宋体" w:cs="宋体"/>
      <w:b/>
      <w:color w:val="000000"/>
      <w:sz w:val="18"/>
      <w:szCs w:val="18"/>
      <w:u w:val="none"/>
    </w:rPr>
  </w:style>
  <w:style w:type="character" w:customStyle="1" w:styleId="41">
    <w:name w:val="font11"/>
    <w:basedOn w:val="2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2286</Words>
  <Characters>2458</Characters>
  <Lines>20</Lines>
  <Paragraphs>5</Paragraphs>
  <TotalTime>0</TotalTime>
  <ScaleCrop>false</ScaleCrop>
  <LinksUpToDate>false</LinksUpToDate>
  <CharactersWithSpaces>2598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2025-12-25T05:57:31Z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B39345F8062646768A7E09D683720C00_12</vt:lpwstr>
  </property>
  <property fmtid="{D5CDD505-2E9C-101B-9397-08002B2CF9AE}" pid="4" name="KSOTemplateDocerSaveRecord">
    <vt:lpwstr>eyJoZGlkIjoiNjljMWFkMjAyYjMzYjk2NmVmMDhhZmUwNWIwZDQ1MDYiLCJ1c2VySWQiOiIzMzY3NjM2OTAifQ==</vt:lpwstr>
  </property>
</Properties>
</file>